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1"/>
      </w:pPr>
      <w:bookmarkStart w:name="ANEXOS" w:id="1"/>
      <w:bookmarkEnd w:id="1"/>
      <w:r>
        <w:rPr>
          <w:b w:val="0"/>
        </w:rPr>
      </w:r>
      <w:r>
        <w:rPr>
          <w:spacing w:val="-2"/>
        </w:rPr>
        <w:t>ANEXOS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Title"/>
      </w:pPr>
      <w:bookmarkStart w:name="ANEXO N 1: OFERTA ECONÓMICA" w:id="2"/>
      <w:bookmarkEnd w:id="2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N°1:</w:t>
      </w:r>
      <w:r>
        <w:rPr>
          <w:spacing w:val="-7"/>
        </w:rPr>
        <w:t> </w:t>
      </w:r>
      <w:r>
        <w:rPr/>
        <w:t>OFERTA</w:t>
      </w:r>
      <w:r>
        <w:rPr>
          <w:spacing w:val="-7"/>
        </w:rPr>
        <w:t> </w:t>
      </w:r>
      <w:r>
        <w:rPr>
          <w:spacing w:val="-2"/>
        </w:rPr>
        <w:t>ECONÓMICA</w:t>
      </w:r>
    </w:p>
    <w:p>
      <w:pPr>
        <w:pStyle w:val="BodyText"/>
        <w:spacing w:before="197"/>
        <w:rPr>
          <w:b/>
        </w:rPr>
      </w:pPr>
    </w:p>
    <w:p>
      <w:pPr>
        <w:pStyle w:val="BodyText"/>
        <w:tabs>
          <w:tab w:pos="7891" w:val="left" w:leader="none"/>
        </w:tabs>
        <w:ind w:left="171"/>
      </w:pP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oferente</w:t>
      </w:r>
      <w:r>
        <w:rPr>
          <w:spacing w:val="-15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15"/>
          <w:u w:val="none"/>
        </w:rPr>
        <w:t> </w:t>
      </w:r>
      <w:r>
        <w:rPr>
          <w:spacing w:val="-5"/>
          <w:u w:val="none"/>
        </w:rPr>
        <w:t>Rut</w:t>
      </w:r>
    </w:p>
    <w:p>
      <w:pPr>
        <w:pStyle w:val="BodyText"/>
        <w:tabs>
          <w:tab w:pos="1825" w:val="left" w:leader="none"/>
          <w:tab w:pos="2126" w:val="left" w:leader="none"/>
          <w:tab w:pos="2706" w:val="left" w:leader="none"/>
          <w:tab w:pos="3822" w:val="left" w:leader="none"/>
          <w:tab w:pos="4063" w:val="left" w:leader="none"/>
          <w:tab w:pos="4295" w:val="left" w:leader="none"/>
          <w:tab w:pos="8369" w:val="left" w:leader="none"/>
        </w:tabs>
        <w:spacing w:line="362" w:lineRule="auto" w:before="122"/>
        <w:ind w:left="171" w:right="470"/>
      </w:pP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4"/>
          <w:u w:val="none"/>
        </w:rPr>
        <w:t>con</w:t>
      </w:r>
      <w:r>
        <w:rPr>
          <w:u w:val="none"/>
        </w:rPr>
        <w:tab/>
      </w:r>
      <w:r>
        <w:rPr>
          <w:spacing w:val="-2"/>
          <w:u w:val="none"/>
        </w:rPr>
        <w:t>domicilio</w:t>
      </w:r>
      <w:r>
        <w:rPr>
          <w:u w:val="none"/>
        </w:rPr>
        <w:tab/>
      </w:r>
      <w:r>
        <w:rPr>
          <w:spacing w:val="-6"/>
          <w:u w:val="none"/>
        </w:rPr>
        <w:t>en</w:t>
      </w:r>
      <w:r>
        <w:rPr>
          <w:u w:val="none"/>
        </w:rPr>
        <w:tab/>
        <w:tab/>
      </w:r>
      <w:r>
        <w:rPr>
          <w:u w:val="single"/>
        </w:rPr>
        <w:tab/>
      </w:r>
      <w:r>
        <w:rPr>
          <w:u w:val="none"/>
        </w:rPr>
        <w:t> Teléfono Nº: </w:t>
      </w:r>
      <w:r>
        <w:rPr>
          <w:u w:val="single"/>
        </w:rPr>
        <w:tab/>
        <w:tab/>
        <w:tab/>
        <w:tab/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tabs>
          <w:tab w:pos="2024" w:val="left" w:leader="none"/>
          <w:tab w:pos="3608" w:val="left" w:leader="none"/>
          <w:tab w:pos="4412" w:val="left" w:leader="none"/>
          <w:tab w:pos="5224" w:val="left" w:leader="none"/>
          <w:tab w:pos="6145" w:val="left" w:leader="none"/>
          <w:tab w:pos="6863" w:val="left" w:leader="none"/>
        </w:tabs>
        <w:ind w:left="171"/>
      </w:pPr>
      <w:r>
        <w:rPr>
          <w:spacing w:val="-2"/>
        </w:rPr>
        <w:t>Representada</w:t>
      </w:r>
      <w:r>
        <w:rPr/>
        <w:tab/>
      </w:r>
      <w:r>
        <w:rPr>
          <w:spacing w:val="-2"/>
        </w:rPr>
        <w:t>legalmente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spacing w:val="-5"/>
        </w:rPr>
        <w:t>(en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corresponder):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1188719</wp:posOffset>
                </wp:positionH>
                <wp:positionV relativeFrom="paragraph">
                  <wp:posOffset>220257</wp:posOffset>
                </wp:positionV>
                <wp:extent cx="51708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17.343073pt;width:407.15pt;height:.1pt;mso-position-horizontal-relative:page;mso-position-vertical-relative:paragraph;z-index:-15728640;mso-wrap-distance-left:0;mso-wrap-distance-right:0" id="docshape2" coordorigin="1872,347" coordsize="8143,0" path="m1872,347l10015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1188719</wp:posOffset>
                </wp:positionH>
                <wp:positionV relativeFrom="paragraph">
                  <wp:posOffset>451863</wp:posOffset>
                </wp:positionV>
                <wp:extent cx="51708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35.57983pt;width:407.15pt;height:.1pt;mso-position-horizontal-relative:page;mso-position-vertical-relative:paragraph;z-index:-15728128;mso-wrap-distance-left:0;mso-wrap-distance-right:0" id="docshape3" coordorigin="1872,712" coordsize="8143,0" path="m1872,712l10015,712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1188719</wp:posOffset>
                </wp:positionH>
                <wp:positionV relativeFrom="paragraph">
                  <wp:posOffset>684988</wp:posOffset>
                </wp:positionV>
                <wp:extent cx="4845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0">
                              <a:moveTo>
                                <a:pt x="0" y="0"/>
                              </a:moveTo>
                              <a:lnTo>
                                <a:pt x="48436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53.936092pt;width:38.15pt;height:.1pt;mso-position-horizontal-relative:page;mso-position-vertical-relative:paragraph;z-index:-15727616;mso-wrap-distance-left:0;mso-wrap-distance-right:0" id="docshape4" coordorigin="1872,1079" coordsize="763,0" path="m1872,1079l2635,1079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spacing w:before="94"/>
      </w:pPr>
    </w:p>
    <w:p>
      <w:pPr>
        <w:pStyle w:val="BodyText"/>
        <w:spacing w:before="47"/>
      </w:pPr>
    </w:p>
    <w:p>
      <w:pPr>
        <w:pStyle w:val="BodyText"/>
        <w:tabs>
          <w:tab w:pos="815" w:val="left" w:leader="none"/>
          <w:tab w:pos="4248" w:val="left" w:leader="none"/>
          <w:tab w:pos="4545" w:val="left" w:leader="none"/>
          <w:tab w:pos="4960" w:val="left" w:leader="none"/>
          <w:tab w:pos="5728" w:val="left" w:leader="none"/>
          <w:tab w:pos="6662" w:val="left" w:leader="none"/>
          <w:tab w:pos="8052" w:val="left" w:leader="none"/>
        </w:tabs>
        <w:ind w:left="171"/>
      </w:pPr>
      <w:r>
        <w:rPr>
          <w:spacing w:val="-5"/>
        </w:rPr>
        <w:t>Rut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10"/>
          <w:u w:val="none"/>
        </w:rPr>
        <w:t>y</w:t>
      </w:r>
      <w:r>
        <w:rPr>
          <w:u w:val="none"/>
        </w:rPr>
        <w:tab/>
      </w:r>
      <w:r>
        <w:rPr>
          <w:spacing w:val="-4"/>
          <w:u w:val="none"/>
        </w:rPr>
        <w:t>cuyo</w:t>
      </w:r>
      <w:r>
        <w:rPr>
          <w:u w:val="none"/>
        </w:rPr>
        <w:tab/>
      </w:r>
      <w:r>
        <w:rPr>
          <w:spacing w:val="-2"/>
          <w:u w:val="none"/>
        </w:rPr>
        <w:t>correo</w:t>
      </w:r>
      <w:r>
        <w:rPr>
          <w:u w:val="none"/>
        </w:rPr>
        <w:tab/>
      </w:r>
      <w:r>
        <w:rPr>
          <w:spacing w:val="-2"/>
          <w:u w:val="none"/>
        </w:rPr>
        <w:t>electrónico</w:t>
      </w:r>
      <w:r>
        <w:rPr>
          <w:u w:val="none"/>
        </w:rPr>
        <w:tab/>
      </w:r>
      <w:r>
        <w:rPr>
          <w:spacing w:val="-5"/>
          <w:u w:val="none"/>
        </w:rPr>
        <w:t>es: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1188719</wp:posOffset>
                </wp:positionH>
                <wp:positionV relativeFrom="paragraph">
                  <wp:posOffset>219986</wp:posOffset>
                </wp:positionV>
                <wp:extent cx="51708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17.321756pt;width:407.15pt;height:.1pt;mso-position-horizontal-relative:page;mso-position-vertical-relative:paragraph;z-index:-15727104;mso-wrap-distance-left:0;mso-wrap-distance-right:0" id="docshape5" coordorigin="1872,346" coordsize="8143,0" path="m1872,346l10015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1188719</wp:posOffset>
                </wp:positionH>
                <wp:positionV relativeFrom="paragraph">
                  <wp:posOffset>453110</wp:posOffset>
                </wp:positionV>
                <wp:extent cx="2425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0">
                              <a:moveTo>
                                <a:pt x="0" y="0"/>
                              </a:moveTo>
                              <a:lnTo>
                                <a:pt x="2420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35.678017pt;width:19.1pt;height:.1pt;mso-position-horizontal-relative:page;mso-position-vertical-relative:paragraph;z-index:-15726592;mso-wrap-distance-left:0;mso-wrap-distance-right:0" id="docshape6" coordorigin="1872,714" coordsize="382,0" path="m1872,714l2253,714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before="49"/>
      </w:pPr>
    </w:p>
    <w:p>
      <w:pPr>
        <w:pStyle w:val="BodyText"/>
        <w:spacing w:line="360" w:lineRule="auto" w:before="1"/>
        <w:ind w:left="171" w:right="470"/>
        <w:jc w:val="both"/>
      </w:pPr>
      <w:r>
        <w:rPr/>
        <w:t>Expresa su intención de participar en la Licitación pública “Servicios de Recaudación electrónica para el Transporte Público, en la zona de operación que comprende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sistemas</w:t>
      </w:r>
      <w:r>
        <w:rPr>
          <w:spacing w:val="-6"/>
        </w:rPr>
        <w:t> </w:t>
      </w:r>
      <w:r>
        <w:rPr/>
        <w:t>regulados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transporte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mayor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conurbación de comunas conformado por Valparaíso, Viña del Mar, Concón, Quilpué y Villa Alemana;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las</w:t>
      </w:r>
      <w:r>
        <w:rPr>
          <w:spacing w:val="-18"/>
        </w:rPr>
        <w:t> </w:t>
      </w:r>
      <w:r>
        <w:rPr/>
        <w:t>comunas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Quintero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Puchuncaví,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Región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Valparaíso”, considerando los siguientes valores:</w:t>
      </w:r>
    </w:p>
    <w:p>
      <w:pPr>
        <w:pStyle w:val="BodyText"/>
      </w:pPr>
    </w:p>
    <w:p>
      <w:pPr>
        <w:pStyle w:val="BodyText"/>
        <w:spacing w:before="198" w:after="1"/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4253"/>
      </w:tblGrid>
      <w:tr>
        <w:trPr>
          <w:trHeight w:val="289" w:hRule="atLeast"/>
        </w:trPr>
        <w:tc>
          <w:tcPr>
            <w:tcW w:w="3965" w:type="dxa"/>
            <w:shd w:val="clear" w:color="auto" w:fill="F1F1F1"/>
          </w:tcPr>
          <w:p>
            <w:pPr>
              <w:pStyle w:val="TableParagraph"/>
              <w:spacing w:line="174" w:lineRule="exact" w:before="95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4253" w:type="dxa"/>
            <w:shd w:val="clear" w:color="auto" w:fill="F1F1F1"/>
          </w:tcPr>
          <w:p>
            <w:pPr>
              <w:pStyle w:val="TableParagraph"/>
              <w:spacing w:line="174" w:lineRule="exact" w:before="95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hyperlink w:history="true" w:anchor="_bookmark0">
              <w:r>
                <w:rPr>
                  <w:b/>
                  <w:spacing w:val="-2"/>
                  <w:sz w:val="16"/>
                  <w:vertAlign w:val="superscript"/>
                </w:rPr>
                <w:t>26</w:t>
              </w:r>
            </w:hyperlink>
          </w:p>
        </w:tc>
      </w:tr>
      <w:tr>
        <w:trPr>
          <w:trHeight w:val="781" w:hRule="atLeast"/>
        </w:trPr>
        <w:tc>
          <w:tcPr>
            <w:tcW w:w="3965" w:type="dxa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Precio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(PFB)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253" w:type="dxa"/>
          </w:tcPr>
          <w:p>
            <w:pPr>
              <w:pStyle w:val="TableParagraph"/>
              <w:spacing w:before="256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CLP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$</w:t>
            </w:r>
          </w:p>
        </w:tc>
      </w:tr>
      <w:tr>
        <w:trPr>
          <w:trHeight w:val="950" w:hRule="atLeast"/>
        </w:trPr>
        <w:tc>
          <w:tcPr>
            <w:tcW w:w="3965" w:type="dxa"/>
          </w:tcPr>
          <w:p>
            <w:pPr>
              <w:pStyle w:val="TableParagraph"/>
              <w:spacing w:line="242" w:lineRule="exact" w:before="221"/>
              <w:ind w:left="69"/>
              <w:rPr>
                <w:position w:val="7"/>
                <w:sz w:val="13"/>
              </w:rPr>
            </w:pPr>
            <w:r>
              <w:rPr>
                <w:sz w:val="20"/>
              </w:rPr>
              <w:t>Porcentaje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transferidos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27</w:t>
              </w:r>
            </w:hyperlink>
          </w:p>
          <w:p>
            <w:pPr>
              <w:pStyle w:val="TableParagraph"/>
              <w:spacing w:line="268" w:lineRule="exact"/>
              <w:ind w:left="69"/>
              <w:rPr>
                <w:rFonts w:ascii="Calibri"/>
                <w:i/>
                <w:sz w:val="22"/>
              </w:rPr>
            </w:pPr>
            <w:r>
              <w:rPr>
                <w:i/>
                <w:spacing w:val="-2"/>
                <w:sz w:val="20"/>
              </w:rPr>
              <w:t>(</w:t>
            </w:r>
            <w:r>
              <w:rPr>
                <w:rFonts w:ascii="Calibri"/>
                <w:i/>
                <w:spacing w:val="-2"/>
                <w:sz w:val="22"/>
              </w:rPr>
              <w:t>PFT)</w:t>
            </w:r>
          </w:p>
        </w:tc>
        <w:tc>
          <w:tcPr>
            <w:tcW w:w="4253" w:type="dxa"/>
          </w:tcPr>
          <w:p>
            <w:pPr>
              <w:pStyle w:val="TableParagraph"/>
              <w:spacing w:before="72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360" w:lineRule="auto"/>
        <w:ind w:left="171" w:right="475"/>
        <w:jc w:val="both"/>
      </w:pPr>
      <w:r>
        <w:rPr/>
        <w:t>Junto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oferente</w:t>
      </w:r>
      <w:r>
        <w:rPr>
          <w:spacing w:val="-7"/>
        </w:rPr>
        <w:t> </w:t>
      </w:r>
      <w:r>
        <w:rPr/>
        <w:t>deberá</w:t>
      </w:r>
      <w:r>
        <w:rPr>
          <w:spacing w:val="-5"/>
        </w:rPr>
        <w:t> </w:t>
      </w:r>
      <w:r>
        <w:rPr/>
        <w:t>hacer</w:t>
      </w:r>
      <w:r>
        <w:rPr>
          <w:spacing w:val="-7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sustente cuantitativamente su oferta final, al menos con un detalle del flujo de caja, que considere: ingresos, egresos, depreciación, amortización, intereses, impuestos,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1188719</wp:posOffset>
                </wp:positionH>
                <wp:positionV relativeFrom="paragraph">
                  <wp:posOffset>260182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20.486778pt;width:144pt;height:.72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92" w:lineRule="exact" w:before="100"/>
        <w:ind w:left="171" w:right="0" w:firstLine="0"/>
        <w:jc w:val="left"/>
        <w:rPr>
          <w:sz w:val="16"/>
        </w:rPr>
      </w:pPr>
      <w:bookmarkStart w:name="_bookmark0" w:id="3"/>
      <w:bookmarkEnd w:id="3"/>
      <w:r>
        <w:rPr/>
      </w:r>
      <w:r>
        <w:rPr>
          <w:sz w:val="16"/>
          <w:vertAlign w:val="superscript"/>
        </w:rPr>
        <w:t>26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valores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ofertados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deben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Impuesto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valor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agregado</w:t>
      </w:r>
      <w:r>
        <w:rPr>
          <w:spacing w:val="-2"/>
          <w:sz w:val="16"/>
          <w:vertAlign w:val="baseline"/>
        </w:rPr>
        <w:t> (IVA).</w:t>
      </w:r>
    </w:p>
    <w:p>
      <w:pPr>
        <w:spacing w:line="225" w:lineRule="exact" w:before="0"/>
        <w:ind w:left="171" w:right="0" w:firstLine="0"/>
        <w:jc w:val="left"/>
        <w:rPr>
          <w:sz w:val="16"/>
        </w:rPr>
      </w:pPr>
      <w:bookmarkStart w:name="_bookmark1" w:id="4"/>
      <w:bookmarkEnd w:id="4"/>
      <w:r>
        <w:rPr/>
      </w:r>
      <w:r>
        <w:rPr>
          <w:rFonts w:ascii="Calibri" w:hAnsi="Calibri"/>
          <w:position w:val="7"/>
          <w:sz w:val="13"/>
        </w:rPr>
        <w:t>27</w:t>
      </w:r>
      <w:r>
        <w:rPr>
          <w:rFonts w:ascii="Calibri" w:hAnsi="Calibri"/>
          <w:spacing w:val="12"/>
          <w:position w:val="7"/>
          <w:sz w:val="13"/>
        </w:rPr>
        <w:t> </w:t>
      </w:r>
      <w:r>
        <w:rPr>
          <w:sz w:val="16"/>
        </w:rPr>
        <w:t>Según</w:t>
      </w:r>
      <w:r>
        <w:rPr>
          <w:spacing w:val="-5"/>
          <w:sz w:val="16"/>
        </w:rPr>
        <w:t> </w:t>
      </w:r>
      <w:r>
        <w:rPr>
          <w:sz w:val="16"/>
        </w:rPr>
        <w:t>lo</w:t>
      </w:r>
      <w:r>
        <w:rPr>
          <w:spacing w:val="1"/>
          <w:sz w:val="16"/>
        </w:rPr>
        <w:t> </w:t>
      </w:r>
      <w:r>
        <w:rPr>
          <w:sz w:val="16"/>
        </w:rPr>
        <w:t>indicado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literal</w:t>
      </w:r>
      <w:r>
        <w:rPr>
          <w:spacing w:val="-4"/>
          <w:sz w:val="16"/>
        </w:rPr>
        <w:t> </w:t>
      </w:r>
      <w:r>
        <w:rPr>
          <w:sz w:val="16"/>
        </w:rPr>
        <w:t>b)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punto</w:t>
      </w:r>
      <w:r>
        <w:rPr>
          <w:spacing w:val="-3"/>
          <w:sz w:val="16"/>
        </w:rPr>
        <w:t> </w:t>
      </w:r>
      <w:r>
        <w:rPr>
          <w:sz w:val="16"/>
        </w:rPr>
        <w:t>3.9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bases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técnicas</w:t>
      </w:r>
    </w:p>
    <w:p>
      <w:pPr>
        <w:spacing w:after="0" w:line="225" w:lineRule="exact"/>
        <w:jc w:val="left"/>
        <w:rPr>
          <w:sz w:val="16"/>
        </w:rPr>
        <w:sectPr>
          <w:headerReference w:type="default" r:id="rId5"/>
          <w:type w:val="continuous"/>
          <w:pgSz w:w="12250" w:h="18730"/>
          <w:pgMar w:header="662" w:footer="0" w:top="1920" w:bottom="280" w:left="1700" w:right="1700"/>
          <w:pgNumType w:start="1"/>
        </w:sectPr>
      </w:pPr>
    </w:p>
    <w:p>
      <w:pPr>
        <w:pStyle w:val="BodyText"/>
        <w:spacing w:line="362" w:lineRule="auto" w:before="89"/>
        <w:ind w:left="171"/>
      </w:pPr>
      <w:r>
        <w:rPr/>
        <w:t>margen neto, TIR y VAN. El período de tiempo del flujo debe ser de acuerdo a la vigencia del contrato señalado en el punto 1.2 de las Bases Administrativas.</w:t>
      </w:r>
    </w:p>
    <w:p>
      <w:pPr>
        <w:pStyle w:val="BodyText"/>
        <w:spacing w:before="239"/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3991"/>
      </w:tblGrid>
      <w:tr>
        <w:trPr>
          <w:trHeight w:val="1264" w:hRule="atLeast"/>
        </w:trPr>
        <w:tc>
          <w:tcPr>
            <w:tcW w:w="4183" w:type="dxa"/>
          </w:tcPr>
          <w:p>
            <w:pPr>
              <w:pStyle w:val="TableParagraph"/>
              <w:spacing w:line="259" w:lineRule="auto" w:before="158"/>
              <w:ind w:left="211" w:right="58"/>
              <w:jc w:val="both"/>
              <w:rPr>
                <w:sz w:val="20"/>
              </w:rPr>
            </w:pPr>
            <w:r>
              <w:rPr>
                <w:sz w:val="20"/>
              </w:rPr>
              <w:t>Firma del oferente o representante debidamente autorizado, según </w:t>
            </w:r>
            <w:r>
              <w:rPr>
                <w:spacing w:val="-2"/>
                <w:sz w:val="20"/>
              </w:rPr>
              <w:t>corresponda: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83" w:type="dxa"/>
          </w:tcPr>
          <w:p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50" w:h="18730"/>
      <w:pgMar w:header="662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2975908</wp:posOffset>
              </wp:positionH>
              <wp:positionV relativeFrom="page">
                <wp:posOffset>754322</wp:posOffset>
              </wp:positionV>
              <wp:extent cx="3447415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4741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97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VALPARAÍSO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323486pt;margin-top:59.395443pt;width:271.45pt;height:29.4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97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VALPARAÍSO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2025-09-09T13:09:46Z</dcterms:created>
  <dcterms:modified xsi:type="dcterms:W3CDTF">2025-09-09T13:09:46Z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