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59" w:lineRule="auto"/>
        <w:ind w:right="1189"/>
      </w:pPr>
      <w:r>
        <w:rPr/>
        <w:t>ANEXO N°9: CRONOGRAMA DE ACTIVIDADES ASOCIADAS A LA PUESTA EN MARCHA DEL SERVICIO DE RECAUDO ELECTRÓNICO.</w:t>
      </w:r>
    </w:p>
    <w:p>
      <w:pPr>
        <w:pStyle w:val="BodyText"/>
        <w:spacing w:before="120"/>
        <w:rPr>
          <w:b/>
        </w:rPr>
      </w:pPr>
    </w:p>
    <w:p>
      <w:pPr>
        <w:pStyle w:val="BodyText"/>
        <w:spacing w:line="360" w:lineRule="auto"/>
        <w:ind w:left="1306" w:right="1187"/>
        <w:jc w:val="both"/>
      </w:pPr>
      <w:r>
        <w:rPr/>
        <w:t>Considerando que se cumplen todos los puntos señalados en el punto 3.8 de las Bases Técnicas para realizar la puesta en marcha del servicio de recaudo electrónico,</w:t>
      </w:r>
      <w:r>
        <w:rPr>
          <w:spacing w:val="-18"/>
        </w:rPr>
        <w:t> </w:t>
      </w:r>
      <w:r>
        <w:rPr/>
        <w:t>a</w:t>
      </w:r>
      <w:r>
        <w:rPr>
          <w:spacing w:val="-15"/>
        </w:rPr>
        <w:t> </w:t>
      </w:r>
      <w:r>
        <w:rPr/>
        <w:t>continuación,</w:t>
      </w:r>
      <w:r>
        <w:rPr>
          <w:spacing w:val="-17"/>
        </w:rPr>
        <w:t> </w:t>
      </w:r>
      <w:r>
        <w:rPr/>
        <w:t>se</w:t>
      </w:r>
      <w:r>
        <w:rPr>
          <w:spacing w:val="-17"/>
        </w:rPr>
        <w:t> </w:t>
      </w:r>
      <w:r>
        <w:rPr/>
        <w:t>define</w:t>
      </w:r>
      <w:r>
        <w:rPr>
          <w:spacing w:val="-17"/>
        </w:rPr>
        <w:t> </w:t>
      </w:r>
      <w:r>
        <w:rPr/>
        <w:t>el</w:t>
      </w:r>
      <w:r>
        <w:rPr>
          <w:spacing w:val="-14"/>
        </w:rPr>
        <w:t> </w:t>
      </w:r>
      <w:r>
        <w:rPr/>
        <w:t>orden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cual</w:t>
      </w:r>
      <w:r>
        <w:rPr>
          <w:spacing w:val="-14"/>
        </w:rPr>
        <w:t> </w:t>
      </w:r>
      <w:r>
        <w:rPr/>
        <w:t>se</w:t>
      </w:r>
      <w:r>
        <w:rPr>
          <w:spacing w:val="-18"/>
        </w:rPr>
        <w:t> </w:t>
      </w:r>
      <w:r>
        <w:rPr/>
        <w:t>deben</w:t>
      </w:r>
      <w:r>
        <w:rPr>
          <w:spacing w:val="-14"/>
        </w:rPr>
        <w:t> </w:t>
      </w:r>
      <w:r>
        <w:rPr/>
        <w:t>cumplir</w:t>
      </w:r>
      <w:r>
        <w:rPr>
          <w:spacing w:val="-18"/>
        </w:rPr>
        <w:t> </w:t>
      </w:r>
      <w:r>
        <w:rPr/>
        <w:t>los</w:t>
      </w:r>
      <w:r>
        <w:rPr>
          <w:spacing w:val="-16"/>
        </w:rPr>
        <w:t> </w:t>
      </w:r>
      <w:r>
        <w:rPr/>
        <w:t>hitos de despliegue del servicio.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1586"/>
        <w:gridCol w:w="2976"/>
        <w:gridCol w:w="2546"/>
        <w:gridCol w:w="2693"/>
      </w:tblGrid>
      <w:tr>
        <w:trPr>
          <w:trHeight w:val="400" w:hRule="atLeast"/>
        </w:trPr>
        <w:tc>
          <w:tcPr>
            <w:tcW w:w="725" w:type="dxa"/>
          </w:tcPr>
          <w:p>
            <w:pPr>
              <w:pStyle w:val="TableParagraph"/>
              <w:spacing w:before="79"/>
              <w:ind w:left="11" w:right="1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4"/>
                <w:sz w:val="20"/>
              </w:rPr>
              <w:t>HITO</w:t>
            </w:r>
          </w:p>
        </w:tc>
        <w:tc>
          <w:tcPr>
            <w:tcW w:w="1586" w:type="dxa"/>
          </w:tcPr>
          <w:p>
            <w:pPr>
              <w:pStyle w:val="TableParagraph"/>
              <w:spacing w:before="79"/>
              <w:ind w:left="4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ACTIVIDAD</w:t>
            </w:r>
          </w:p>
        </w:tc>
        <w:tc>
          <w:tcPr>
            <w:tcW w:w="2976" w:type="dxa"/>
          </w:tcPr>
          <w:p>
            <w:pPr>
              <w:pStyle w:val="TableParagraph"/>
              <w:spacing w:before="79"/>
              <w:ind w:left="77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EXIGENCIAS</w:t>
            </w:r>
          </w:p>
        </w:tc>
        <w:tc>
          <w:tcPr>
            <w:tcW w:w="2546" w:type="dxa"/>
          </w:tcPr>
          <w:p>
            <w:pPr>
              <w:pStyle w:val="TableParagraph"/>
              <w:spacing w:before="79"/>
              <w:ind w:left="36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TEMPORALIDAD</w:t>
            </w:r>
          </w:p>
        </w:tc>
        <w:tc>
          <w:tcPr>
            <w:tcW w:w="2693" w:type="dxa"/>
          </w:tcPr>
          <w:p>
            <w:pPr>
              <w:pStyle w:val="TableParagraph"/>
              <w:spacing w:before="79"/>
              <w:ind w:left="49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EXPECTATIVAS</w:t>
            </w:r>
          </w:p>
        </w:tc>
      </w:tr>
      <w:tr>
        <w:trPr>
          <w:trHeight w:val="1214" w:hRule="atLeast"/>
        </w:trPr>
        <w:tc>
          <w:tcPr>
            <w:tcW w:w="725" w:type="dxa"/>
          </w:tcPr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0</w:t>
            </w:r>
          </w:p>
        </w:tc>
        <w:tc>
          <w:tcPr>
            <w:tcW w:w="1586" w:type="dxa"/>
          </w:tcPr>
          <w:p>
            <w:pPr>
              <w:pStyle w:val="TableParagraph"/>
              <w:spacing w:before="123"/>
              <w:ind w:left="228" w:right="219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MARCHA BLANCA PRIMER CONTACTO</w:t>
            </w:r>
          </w:p>
        </w:tc>
        <w:tc>
          <w:tcPr>
            <w:tcW w:w="2976" w:type="dxa"/>
          </w:tcPr>
          <w:p>
            <w:pPr>
              <w:pStyle w:val="TableParagraph"/>
              <w:spacing w:before="1"/>
              <w:ind w:left="214" w:right="205" w:firstLine="3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VALIDACIÓN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MEDIOS DE</w:t>
            </w:r>
            <w:r>
              <w:rPr>
                <w:rFonts w:ascii="Verdana" w:hAnsi="Verdana"/>
                <w:spacing w:val="-1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ACCESO</w:t>
            </w:r>
            <w:r>
              <w:rPr>
                <w:rFonts w:ascii="Verdana" w:hAnsi="Verdana"/>
                <w:spacing w:val="-1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CLOSE</w:t>
            </w:r>
            <w:r>
              <w:rPr>
                <w:rFonts w:ascii="Verdana" w:hAnsi="Verdana"/>
                <w:spacing w:val="-1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LOOP (TARJETA FÍSICA Y CÓDIGO QR)</w:t>
            </w:r>
          </w:p>
          <w:p>
            <w:pPr>
              <w:pStyle w:val="TableParagraph"/>
              <w:spacing w:line="221" w:lineRule="exact"/>
              <w:ind w:left="41" w:right="36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(TNE</w:t>
            </w:r>
            <w:r>
              <w:rPr>
                <w:rFonts w:ascii="Verdana"/>
                <w:spacing w:val="-5"/>
                <w:sz w:val="20"/>
              </w:rPr>
              <w:t> </w:t>
            </w:r>
            <w:r>
              <w:rPr>
                <w:rFonts w:ascii="Verdana"/>
                <w:sz w:val="20"/>
              </w:rPr>
              <w:t>Y</w:t>
            </w:r>
            <w:r>
              <w:rPr>
                <w:rFonts w:ascii="Verdana"/>
                <w:spacing w:val="-5"/>
                <w:sz w:val="20"/>
              </w:rPr>
              <w:t> </w:t>
            </w:r>
            <w:r>
              <w:rPr>
                <w:rFonts w:ascii="Verdana"/>
                <w:spacing w:val="-4"/>
                <w:sz w:val="20"/>
              </w:rPr>
              <w:t>TAM)</w:t>
            </w:r>
          </w:p>
        </w:tc>
        <w:tc>
          <w:tcPr>
            <w:tcW w:w="2546" w:type="dxa"/>
          </w:tcPr>
          <w:p>
            <w:pPr>
              <w:pStyle w:val="TableParagraph"/>
              <w:spacing w:before="122"/>
              <w:rPr>
                <w:rFonts w:ascii="Verdana"/>
                <w:sz w:val="20"/>
              </w:rPr>
            </w:pPr>
          </w:p>
          <w:p>
            <w:pPr>
              <w:pStyle w:val="TableParagraph"/>
              <w:spacing w:line="243" w:lineRule="exact"/>
              <w:ind w:left="71" w:right="6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30-</w:t>
            </w:r>
            <w:r>
              <w:rPr>
                <w:rFonts w:ascii="Verdana"/>
                <w:spacing w:val="-5"/>
                <w:sz w:val="20"/>
              </w:rPr>
              <w:t>60</w:t>
            </w:r>
          </w:p>
          <w:p>
            <w:pPr>
              <w:pStyle w:val="TableParagraph"/>
              <w:spacing w:line="243" w:lineRule="exact"/>
              <w:ind w:left="71" w:right="64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DÍAS</w:t>
            </w:r>
            <w:r>
              <w:rPr>
                <w:rFonts w:ascii="Verdana" w:hAnsi="Verdana"/>
                <w:spacing w:val="-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5"/>
                <w:sz w:val="20"/>
              </w:rPr>
              <w:t> </w:t>
            </w:r>
            <w:r>
              <w:rPr>
                <w:rFonts w:ascii="Verdana" w:hAnsi="Verdana"/>
                <w:spacing w:val="-2"/>
                <w:sz w:val="20"/>
              </w:rPr>
              <w:t>DURACIÓN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3"/>
              <w:ind w:left="124" w:right="108" w:firstLine="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MEDIR PRIMERA TOMA DE</w:t>
            </w:r>
            <w:r>
              <w:rPr>
                <w:rFonts w:ascii="Verdana"/>
                <w:spacing w:val="-14"/>
                <w:sz w:val="20"/>
              </w:rPr>
              <w:t> </w:t>
            </w:r>
            <w:r>
              <w:rPr>
                <w:rFonts w:ascii="Verdana"/>
                <w:sz w:val="20"/>
              </w:rPr>
              <w:t>CONTACTO</w:t>
            </w:r>
            <w:r>
              <w:rPr>
                <w:rFonts w:ascii="Verdana"/>
                <w:spacing w:val="-14"/>
                <w:sz w:val="20"/>
              </w:rPr>
              <w:t> </w:t>
            </w:r>
            <w:r>
              <w:rPr>
                <w:rFonts w:ascii="Verdana"/>
                <w:sz w:val="20"/>
              </w:rPr>
              <w:t>CON</w:t>
            </w:r>
            <w:r>
              <w:rPr>
                <w:rFonts w:ascii="Verdana"/>
                <w:spacing w:val="-12"/>
                <w:sz w:val="20"/>
              </w:rPr>
              <w:t> </w:t>
            </w:r>
            <w:r>
              <w:rPr>
                <w:rFonts w:ascii="Verdana"/>
                <w:sz w:val="20"/>
              </w:rPr>
              <w:t>LAS PERSONAS USUARIAS DEL SERVICIO.</w:t>
            </w:r>
          </w:p>
        </w:tc>
      </w:tr>
      <w:tr>
        <w:trPr>
          <w:trHeight w:val="729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ind w:left="1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1</w:t>
            </w:r>
          </w:p>
        </w:tc>
        <w:tc>
          <w:tcPr>
            <w:tcW w:w="9801" w:type="dxa"/>
            <w:gridSpan w:val="4"/>
          </w:tcPr>
          <w:p>
            <w:pPr>
              <w:pStyle w:val="TableParagraph"/>
              <w:spacing w:before="122"/>
              <w:ind w:left="5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INICIO</w:t>
            </w:r>
            <w:r>
              <w:rPr>
                <w:rFonts w:ascii="Verdana" w:hAnsi="Verdana"/>
                <w:spacing w:val="-7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DEL</w:t>
            </w:r>
            <w:r>
              <w:rPr>
                <w:rFonts w:ascii="Verdana" w:hAnsi="Verdana"/>
                <w:spacing w:val="-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SERVICIO</w:t>
            </w:r>
            <w:r>
              <w:rPr>
                <w:rFonts w:ascii="Verdana" w:hAnsi="Verdana"/>
                <w:spacing w:val="-7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EN</w:t>
            </w:r>
            <w:r>
              <w:rPr>
                <w:rFonts w:ascii="Verdana" w:hAnsi="Verdana"/>
                <w:spacing w:val="-8"/>
                <w:sz w:val="20"/>
              </w:rPr>
              <w:t> </w:t>
            </w:r>
            <w:r>
              <w:rPr>
                <w:rFonts w:ascii="Verdana" w:hAnsi="Verdana"/>
                <w:spacing w:val="-2"/>
                <w:sz w:val="20"/>
              </w:rPr>
              <w:t>RÉGIMEN</w:t>
            </w:r>
          </w:p>
        </w:tc>
      </w:tr>
      <w:tr>
        <w:trPr>
          <w:trHeight w:val="1946" w:hRule="atLeast"/>
        </w:trPr>
        <w:tc>
          <w:tcPr>
            <w:tcW w:w="725" w:type="dxa"/>
          </w:tcPr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2</w:t>
            </w:r>
          </w:p>
        </w:tc>
        <w:tc>
          <w:tcPr>
            <w:tcW w:w="1586" w:type="dxa"/>
          </w:tcPr>
          <w:p>
            <w:pPr>
              <w:pStyle w:val="TableParagraph"/>
              <w:spacing w:before="232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69" w:right="62"/>
              <w:jc w:val="center"/>
              <w:rPr>
                <w:sz w:val="22"/>
              </w:rPr>
            </w:pPr>
            <w:r>
              <w:rPr>
                <w:rFonts w:ascii="Verdana" w:hAnsi="Verdana"/>
                <w:spacing w:val="-2"/>
                <w:sz w:val="20"/>
              </w:rPr>
              <w:t>INTEGRACIÓN </w:t>
            </w:r>
            <w:r>
              <w:rPr>
                <w:rFonts w:ascii="Verdana" w:hAnsi="Verdana"/>
                <w:sz w:val="20"/>
              </w:rPr>
              <w:t>APP RED </w:t>
            </w:r>
            <w:r>
              <w:rPr>
                <w:rFonts w:ascii="Verdana" w:hAnsi="Verdana"/>
                <w:spacing w:val="-2"/>
                <w:sz w:val="20"/>
              </w:rPr>
              <w:t>REGIONAL </w:t>
            </w:r>
            <w:r>
              <w:rPr>
                <w:sz w:val="22"/>
              </w:rPr>
              <w:t>FASE 1</w:t>
            </w:r>
          </w:p>
        </w:tc>
        <w:tc>
          <w:tcPr>
            <w:tcW w:w="2976" w:type="dxa"/>
          </w:tcPr>
          <w:p>
            <w:pPr>
              <w:pStyle w:val="TableParagraph"/>
              <w:spacing w:before="2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79" w:right="68" w:hanging="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IMPLEMENTACIÓN DEL SERVICIO DE INFORMACIÓN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AL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USUARIO EN LA APP RED REGIONAL (PDV Y CAU)</w:t>
            </w:r>
          </w:p>
        </w:tc>
        <w:tc>
          <w:tcPr>
            <w:tcW w:w="2546" w:type="dxa"/>
          </w:tcPr>
          <w:p>
            <w:pPr>
              <w:pStyle w:val="TableParagraph"/>
              <w:spacing w:before="122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71" w:right="59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IMPLEMENTADO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45 DÍAS DESPUÉS DE </w:t>
            </w:r>
            <w:r>
              <w:rPr>
                <w:rFonts w:ascii="Verdana" w:hAnsi="Verdana"/>
                <w:spacing w:val="-2"/>
                <w:sz w:val="20"/>
              </w:rPr>
              <w:t>CUMPLIDO</w:t>
            </w:r>
          </w:p>
          <w:p>
            <w:pPr>
              <w:pStyle w:val="TableParagraph"/>
              <w:ind w:left="71" w:right="6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EL</w:t>
            </w:r>
            <w:r>
              <w:rPr>
                <w:rFonts w:ascii="Verdana"/>
                <w:spacing w:val="-5"/>
                <w:sz w:val="20"/>
              </w:rPr>
              <w:t> </w:t>
            </w:r>
            <w:r>
              <w:rPr>
                <w:rFonts w:ascii="Verdana"/>
                <w:sz w:val="20"/>
              </w:rPr>
              <w:t>HITO</w:t>
            </w:r>
            <w:r>
              <w:rPr>
                <w:rFonts w:ascii="Verdana"/>
                <w:spacing w:val="-7"/>
                <w:sz w:val="20"/>
              </w:rPr>
              <w:t> </w:t>
            </w:r>
            <w:r>
              <w:rPr>
                <w:rFonts w:ascii="Verdana"/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>
            <w:pPr>
              <w:pStyle w:val="TableParagraph"/>
              <w:spacing w:before="2"/>
              <w:ind w:left="196" w:right="178" w:firstLine="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PERMITIR A LAS PERSONAS USUARIAS DE LA APP RED REGIONAL PODER </w:t>
            </w:r>
            <w:r>
              <w:rPr>
                <w:rFonts w:ascii="Verdana" w:hAnsi="Verdana"/>
                <w:spacing w:val="-2"/>
                <w:sz w:val="20"/>
              </w:rPr>
              <w:t>VISUALIZAR </w:t>
            </w:r>
            <w:r>
              <w:rPr>
                <w:rFonts w:ascii="Verdana" w:hAnsi="Verdana"/>
                <w:sz w:val="20"/>
              </w:rPr>
              <w:t>INFORMACIÓN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LOS PUNTOS DE CARGA Y</w:t>
            </w:r>
          </w:p>
          <w:p>
            <w:pPr>
              <w:pStyle w:val="TableParagraph"/>
              <w:spacing w:line="222" w:lineRule="exact"/>
              <w:ind w:left="16" w:right="1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CENTROS</w:t>
            </w:r>
            <w:r>
              <w:rPr>
                <w:rFonts w:ascii="Verdana" w:hAnsi="Verdana"/>
                <w:spacing w:val="-7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7"/>
                <w:sz w:val="20"/>
              </w:rPr>
              <w:t> </w:t>
            </w:r>
            <w:r>
              <w:rPr>
                <w:rFonts w:ascii="Verdana" w:hAnsi="Verdana"/>
                <w:spacing w:val="-2"/>
                <w:sz w:val="20"/>
              </w:rPr>
              <w:t>ATENCIÓN</w:t>
            </w:r>
          </w:p>
        </w:tc>
      </w:tr>
      <w:tr>
        <w:trPr>
          <w:trHeight w:val="1943" w:hRule="atLeast"/>
        </w:trPr>
        <w:tc>
          <w:tcPr>
            <w:tcW w:w="725" w:type="dxa"/>
          </w:tcPr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3</w:t>
            </w:r>
          </w:p>
        </w:tc>
        <w:tc>
          <w:tcPr>
            <w:tcW w:w="1586" w:type="dxa"/>
          </w:tcPr>
          <w:p>
            <w:pPr>
              <w:pStyle w:val="TableParagraph"/>
              <w:spacing w:before="230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69" w:right="62"/>
              <w:jc w:val="center"/>
              <w:rPr>
                <w:sz w:val="22"/>
              </w:rPr>
            </w:pPr>
            <w:r>
              <w:rPr>
                <w:rFonts w:ascii="Verdana" w:hAnsi="Verdana"/>
                <w:spacing w:val="-2"/>
                <w:sz w:val="20"/>
              </w:rPr>
              <w:t>INTEGRACIÓN </w:t>
            </w:r>
            <w:r>
              <w:rPr>
                <w:rFonts w:ascii="Verdana" w:hAnsi="Verdana"/>
                <w:sz w:val="20"/>
              </w:rPr>
              <w:t>APP RED </w:t>
            </w:r>
            <w:r>
              <w:rPr>
                <w:rFonts w:ascii="Verdana" w:hAnsi="Verdana"/>
                <w:spacing w:val="-2"/>
                <w:sz w:val="20"/>
              </w:rPr>
              <w:t>REGIONAL </w:t>
            </w:r>
            <w:r>
              <w:rPr>
                <w:sz w:val="22"/>
              </w:rPr>
              <w:t>FASE 2</w:t>
            </w:r>
          </w:p>
        </w:tc>
        <w:tc>
          <w:tcPr>
            <w:tcW w:w="2976" w:type="dxa"/>
          </w:tcPr>
          <w:p>
            <w:pPr>
              <w:pStyle w:val="TableParagraph"/>
              <w:spacing w:before="122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41" w:right="3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IMPLEMENTACIÓN DEL SERVICIO</w:t>
            </w:r>
            <w:r>
              <w:rPr>
                <w:rFonts w:ascii="Verdana" w:hAnsi="Verdana"/>
                <w:spacing w:val="-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CARGA</w:t>
            </w:r>
            <w:r>
              <w:rPr>
                <w:rFonts w:ascii="Verdana" w:hAnsi="Verdana"/>
                <w:spacing w:val="-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 SALDO Y EMISIÓN DE TICKET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TRANSPORTE </w:t>
            </w:r>
            <w:r>
              <w:rPr>
                <w:rFonts w:ascii="Verdana" w:hAnsi="Verdana"/>
                <w:spacing w:val="-4"/>
                <w:sz w:val="20"/>
              </w:rPr>
              <w:t>(QR)</w:t>
            </w:r>
          </w:p>
        </w:tc>
        <w:tc>
          <w:tcPr>
            <w:tcW w:w="2546" w:type="dxa"/>
          </w:tcPr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spacing w:before="121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185" w:right="177" w:firstLine="3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IMPLEMENTADO 90 DÍAS DESPUÉS DE CUMPLIDO</w:t>
            </w:r>
            <w:r>
              <w:rPr>
                <w:rFonts w:ascii="Verdana" w:hAnsi="Verdana"/>
                <w:spacing w:val="-1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EL</w:t>
            </w:r>
            <w:r>
              <w:rPr>
                <w:rFonts w:ascii="Verdana" w:hAnsi="Verdana"/>
                <w:spacing w:val="-1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HITO</w:t>
            </w:r>
            <w:r>
              <w:rPr>
                <w:rFonts w:ascii="Verdana" w:hAnsi="Verdana"/>
                <w:spacing w:val="-1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693" w:type="dxa"/>
          </w:tcPr>
          <w:p>
            <w:pPr>
              <w:pStyle w:val="TableParagraph"/>
              <w:ind w:left="95" w:right="77" w:firstLine="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PERMITIR A LAS PERSONAS USUARIAS DE LA APP RED REGIONAL PODER REALIZAR CARGAS DE SALDO Y EMISIÓN DE TICKET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TRANSPORTE</w:t>
            </w:r>
          </w:p>
          <w:p>
            <w:pPr>
              <w:pStyle w:val="TableParagraph"/>
              <w:spacing w:line="222" w:lineRule="exact"/>
              <w:ind w:left="16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</w:t>
            </w:r>
            <w:r>
              <w:rPr>
                <w:rFonts w:ascii="Verdana" w:hAnsi="Verdana"/>
                <w:spacing w:val="-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MODALIDAD</w:t>
            </w:r>
            <w:r>
              <w:rPr>
                <w:rFonts w:ascii="Verdana" w:hAnsi="Verdana"/>
                <w:spacing w:val="-8"/>
                <w:sz w:val="20"/>
              </w:rPr>
              <w:t> </w:t>
            </w:r>
            <w:r>
              <w:rPr>
                <w:rFonts w:ascii="Verdana" w:hAnsi="Verdana"/>
                <w:spacing w:val="-4"/>
                <w:sz w:val="20"/>
              </w:rPr>
              <w:t>“QR”</w:t>
            </w:r>
          </w:p>
        </w:tc>
      </w:tr>
      <w:tr>
        <w:trPr>
          <w:trHeight w:val="1217" w:hRule="atLeast"/>
        </w:trPr>
        <w:tc>
          <w:tcPr>
            <w:tcW w:w="725" w:type="dxa"/>
          </w:tcPr>
          <w:p>
            <w:pPr>
              <w:pStyle w:val="TableParagraph"/>
              <w:spacing w:before="122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4</w:t>
            </w:r>
          </w:p>
        </w:tc>
        <w:tc>
          <w:tcPr>
            <w:tcW w:w="1586" w:type="dxa"/>
          </w:tcPr>
          <w:p>
            <w:pPr>
              <w:pStyle w:val="TableParagraph"/>
              <w:spacing w:before="2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EMV</w:t>
            </w:r>
          </w:p>
        </w:tc>
        <w:tc>
          <w:tcPr>
            <w:tcW w:w="2976" w:type="dxa"/>
          </w:tcPr>
          <w:p>
            <w:pPr>
              <w:pStyle w:val="TableParagraph"/>
              <w:spacing w:before="2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41" w:right="3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IMPLEMENTACIÓN DE MEDIOS</w:t>
            </w:r>
            <w:r>
              <w:rPr>
                <w:rFonts w:ascii="Verdana" w:hAnsi="Verdana"/>
                <w:spacing w:val="-10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1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ACCESO</w:t>
            </w:r>
            <w:r>
              <w:rPr>
                <w:rFonts w:ascii="Verdana" w:hAnsi="Verdana"/>
                <w:spacing w:val="-10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EMV</w:t>
            </w:r>
            <w:r>
              <w:rPr>
                <w:rFonts w:ascii="Verdana" w:hAnsi="Verdana"/>
                <w:spacing w:val="-10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Y BILLETERAS ELECTRÓNICA</w:t>
            </w:r>
          </w:p>
        </w:tc>
        <w:tc>
          <w:tcPr>
            <w:tcW w:w="2546" w:type="dxa"/>
          </w:tcPr>
          <w:p>
            <w:pPr>
              <w:pStyle w:val="TableParagraph"/>
              <w:spacing w:before="122"/>
              <w:ind w:left="71" w:right="59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IMPLEMENTADO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90 DÍAS DESPUÉS DE </w:t>
            </w:r>
            <w:r>
              <w:rPr>
                <w:rFonts w:ascii="Verdana" w:hAnsi="Verdana"/>
                <w:spacing w:val="-2"/>
                <w:sz w:val="20"/>
              </w:rPr>
              <w:t>CUMPLIDO</w:t>
            </w:r>
          </w:p>
          <w:p>
            <w:pPr>
              <w:pStyle w:val="TableParagraph"/>
              <w:spacing w:before="1"/>
              <w:ind w:left="71" w:right="6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EL</w:t>
            </w:r>
            <w:r>
              <w:rPr>
                <w:rFonts w:ascii="Verdana"/>
                <w:spacing w:val="-5"/>
                <w:sz w:val="20"/>
              </w:rPr>
              <w:t> </w:t>
            </w:r>
            <w:r>
              <w:rPr>
                <w:rFonts w:ascii="Verdana"/>
                <w:sz w:val="20"/>
              </w:rPr>
              <w:t>HITO</w:t>
            </w:r>
            <w:r>
              <w:rPr>
                <w:rFonts w:ascii="Verdana"/>
                <w:spacing w:val="-7"/>
                <w:sz w:val="20"/>
              </w:rPr>
              <w:t> </w:t>
            </w:r>
            <w:r>
              <w:rPr>
                <w:rFonts w:ascii="Verdana"/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>
            <w:pPr>
              <w:pStyle w:val="TableParagraph"/>
              <w:ind w:left="232" w:right="215" w:firstLine="88"/>
              <w:jc w:val="both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ADMITIR EL USO DE MEDIOS DE ACCESO BANCARIOS A LAS</w:t>
            </w:r>
          </w:p>
          <w:p>
            <w:pPr>
              <w:pStyle w:val="TableParagraph"/>
              <w:spacing w:line="240" w:lineRule="atLeast"/>
              <w:ind w:left="662" w:right="215" w:hanging="430"/>
              <w:jc w:val="both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PERSONAS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z w:val="20"/>
              </w:rPr>
              <w:t>USUARIAS DEL SISTEMA</w:t>
            </w:r>
          </w:p>
        </w:tc>
      </w:tr>
    </w:tbl>
    <w:p>
      <w:pPr>
        <w:pStyle w:val="BodyText"/>
        <w:spacing w:before="181"/>
      </w:pPr>
    </w:p>
    <w:p>
      <w:pPr>
        <w:pStyle w:val="BodyText"/>
        <w:spacing w:line="362" w:lineRule="auto"/>
        <w:ind w:left="1306" w:right="1186"/>
        <w:jc w:val="both"/>
      </w:pPr>
      <w:r>
        <w:rPr/>
        <w:t>El Ministerio podrá modificar estos hitos de forma coordinada con el operador de recaudo contratado en función de mejorar los tiempos de implementación.</w:t>
      </w:r>
    </w:p>
    <w:p>
      <w:pPr>
        <w:pStyle w:val="BodyText"/>
        <w:spacing w:after="0" w:line="362" w:lineRule="auto"/>
        <w:jc w:val="both"/>
        <w:sectPr>
          <w:headerReference w:type="default" r:id="rId5"/>
          <w:type w:val="continuous"/>
          <w:pgSz w:w="12250" w:h="18730"/>
          <w:pgMar w:header="662" w:footer="0" w:top="1920" w:bottom="280" w:left="566" w:right="992"/>
          <w:pgNumType w:start="1"/>
        </w:sectPr>
      </w:pPr>
    </w:p>
    <w:p>
      <w:pPr>
        <w:pStyle w:val="Heading1"/>
      </w:pPr>
      <w:r>
        <w:rPr/>
        <w:t>CARTA</w:t>
      </w:r>
      <w:r>
        <w:rPr>
          <w:spacing w:val="-9"/>
        </w:rPr>
        <w:t> </w:t>
      </w:r>
      <w:r>
        <w:rPr>
          <w:spacing w:val="-2"/>
        </w:rPr>
        <w:t>GANTT</w:t>
      </w:r>
    </w:p>
    <w:p>
      <w:pPr>
        <w:pStyle w:val="BodyText"/>
        <w:spacing w:before="224"/>
        <w:rPr>
          <w:b/>
        </w:rPr>
      </w:pPr>
    </w:p>
    <w:p>
      <w:pPr>
        <w:pStyle w:val="BodyText"/>
        <w:spacing w:line="360" w:lineRule="auto"/>
        <w:ind w:left="1306" w:right="1181"/>
        <w:jc w:val="both"/>
      </w:pPr>
      <w:r>
        <w:rPr/>
        <w:t>El</w:t>
      </w:r>
      <w:r>
        <w:rPr>
          <w:spacing w:val="-13"/>
        </w:rPr>
        <w:t> </w:t>
      </w:r>
      <w:r>
        <w:rPr/>
        <w:t>Oferente</w:t>
      </w:r>
      <w:r>
        <w:rPr>
          <w:spacing w:val="-16"/>
        </w:rPr>
        <w:t> </w:t>
      </w:r>
      <w:r>
        <w:rPr/>
        <w:t>deberá</w:t>
      </w:r>
      <w:r>
        <w:rPr>
          <w:spacing w:val="-12"/>
        </w:rPr>
        <w:t> </w:t>
      </w:r>
      <w:r>
        <w:rPr/>
        <w:t>entregar</w:t>
      </w:r>
      <w:r>
        <w:rPr>
          <w:spacing w:val="-16"/>
        </w:rPr>
        <w:t> </w:t>
      </w:r>
      <w:r>
        <w:rPr/>
        <w:t>como</w:t>
      </w:r>
      <w:r>
        <w:rPr>
          <w:spacing w:val="-13"/>
        </w:rPr>
        <w:t> </w:t>
      </w:r>
      <w:r>
        <w:rPr/>
        <w:t>documento</w:t>
      </w:r>
      <w:r>
        <w:rPr>
          <w:spacing w:val="-14"/>
        </w:rPr>
        <w:t> </w:t>
      </w:r>
      <w:r>
        <w:rPr/>
        <w:t>adjunto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su</w:t>
      </w:r>
      <w:r>
        <w:rPr>
          <w:spacing w:val="-15"/>
        </w:rPr>
        <w:t> </w:t>
      </w:r>
      <w:r>
        <w:rPr/>
        <w:t>oferta,</w:t>
      </w:r>
      <w:r>
        <w:rPr>
          <w:spacing w:val="-15"/>
        </w:rPr>
        <w:t> </w:t>
      </w:r>
      <w:r>
        <w:rPr/>
        <w:t>una</w:t>
      </w:r>
      <w:r>
        <w:rPr>
          <w:spacing w:val="-15"/>
        </w:rPr>
        <w:t> </w:t>
      </w:r>
      <w:r>
        <w:rPr/>
        <w:t>carta</w:t>
      </w:r>
      <w:r>
        <w:rPr>
          <w:spacing w:val="-15"/>
        </w:rPr>
        <w:t> </w:t>
      </w:r>
      <w:r>
        <w:rPr/>
        <w:t>Gantt con las principales actividades a desarrollar, considerando tiempos involucrados, hitos, responsables, posibles desviaciones u otra información relevante que permita anticipar la planificación del proyecto.</w:t>
      </w:r>
    </w:p>
    <w:p>
      <w:pPr>
        <w:pStyle w:val="BodyText"/>
        <w:spacing w:line="360" w:lineRule="auto" w:before="162"/>
        <w:ind w:left="1306" w:right="1179"/>
        <w:jc w:val="both"/>
      </w:pPr>
      <w:r>
        <w:rPr/>
        <w:t>Esta carta Gantt debe considerar las actividades a realizar posteriores a la fecha de</w:t>
      </w:r>
      <w:r>
        <w:rPr>
          <w:spacing w:val="-5"/>
        </w:rPr>
        <w:t> </w:t>
      </w:r>
      <w:r>
        <w:rPr/>
        <w:t>total</w:t>
      </w:r>
      <w:r>
        <w:rPr>
          <w:spacing w:val="-1"/>
        </w:rPr>
        <w:t> </w:t>
      </w:r>
      <w:r>
        <w:rPr/>
        <w:t>tramitación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acto</w:t>
      </w:r>
      <w:r>
        <w:rPr>
          <w:spacing w:val="-5"/>
        </w:rPr>
        <w:t> </w:t>
      </w:r>
      <w:r>
        <w:rPr/>
        <w:t>administrativo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apruebe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contrato;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podrán superar un plazo máximo de 6 meses</w:t>
      </w:r>
      <w:r>
        <w:rPr>
          <w:position w:val="7"/>
          <w:sz w:val="13"/>
        </w:rPr>
        <w:t>29</w:t>
      </w:r>
      <w:r>
        <w:rPr/>
        <w:t>, salvo que, por razones fundadas y no imputables</w:t>
      </w:r>
      <w:r>
        <w:rPr>
          <w:spacing w:val="-6"/>
        </w:rPr>
        <w:t> </w:t>
      </w:r>
      <w:r>
        <w:rPr/>
        <w:t>al</w:t>
      </w:r>
      <w:r>
        <w:rPr>
          <w:spacing w:val="-3"/>
        </w:rPr>
        <w:t> </w:t>
      </w:r>
      <w:r>
        <w:rPr/>
        <w:t>adjudicatario,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Ministerio</w:t>
      </w:r>
      <w:r>
        <w:rPr>
          <w:spacing w:val="-7"/>
        </w:rPr>
        <w:t> </w:t>
      </w:r>
      <w:r>
        <w:rPr/>
        <w:t>defina</w:t>
      </w:r>
      <w:r>
        <w:rPr>
          <w:spacing w:val="-8"/>
        </w:rPr>
        <w:t> </w:t>
      </w:r>
      <w:r>
        <w:rPr/>
        <w:t>un</w:t>
      </w:r>
      <w:r>
        <w:rPr>
          <w:spacing w:val="-5"/>
        </w:rPr>
        <w:t> </w:t>
      </w:r>
      <w:r>
        <w:rPr/>
        <w:t>plazo</w:t>
      </w:r>
      <w:r>
        <w:rPr>
          <w:spacing w:val="-7"/>
        </w:rPr>
        <w:t> </w:t>
      </w:r>
      <w:r>
        <w:rPr/>
        <w:t>diferente,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cual</w:t>
      </w:r>
      <w:r>
        <w:rPr>
          <w:spacing w:val="-3"/>
        </w:rPr>
        <w:t> </w:t>
      </w:r>
      <w:r>
        <w:rPr/>
        <w:t>deberá formalizarse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acto</w:t>
      </w:r>
      <w:r>
        <w:rPr>
          <w:spacing w:val="-3"/>
        </w:rPr>
        <w:t> </w:t>
      </w:r>
      <w:r>
        <w:rPr/>
        <w:t>administrativo.</w:t>
      </w:r>
      <w:r>
        <w:rPr>
          <w:spacing w:val="-2"/>
        </w:rPr>
        <w:t> </w:t>
      </w:r>
      <w:r>
        <w:rPr/>
        <w:t>El formato</w:t>
      </w:r>
      <w:r>
        <w:rPr>
          <w:spacing w:val="-1"/>
        </w:rPr>
        <w:t> </w:t>
      </w:r>
      <w:r>
        <w:rPr/>
        <w:t>de Carta Gantt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entregar</w:t>
      </w:r>
      <w:r>
        <w:rPr>
          <w:spacing w:val="-3"/>
        </w:rPr>
        <w:t> </w:t>
      </w:r>
      <w:r>
        <w:rPr/>
        <w:t>según lo señalado anteriormente, está detallado a continuación en el presente Anexo, 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cual</w:t>
      </w:r>
      <w:r>
        <w:rPr>
          <w:spacing w:val="-8"/>
        </w:rPr>
        <w:t> </w:t>
      </w:r>
      <w:r>
        <w:rPr/>
        <w:t>se</w:t>
      </w:r>
      <w:r>
        <w:rPr>
          <w:spacing w:val="-10"/>
        </w:rPr>
        <w:t> </w:t>
      </w:r>
      <w:r>
        <w:rPr/>
        <w:t>solicita</w:t>
      </w:r>
      <w:r>
        <w:rPr>
          <w:spacing w:val="-10"/>
        </w:rPr>
        <w:t> </w:t>
      </w:r>
      <w:r>
        <w:rPr/>
        <w:t>estipular</w:t>
      </w:r>
      <w:r>
        <w:rPr>
          <w:spacing w:val="-11"/>
        </w:rPr>
        <w:t> </w:t>
      </w:r>
      <w:r>
        <w:rPr/>
        <w:t>fechas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ejecución,</w:t>
      </w:r>
      <w:r>
        <w:rPr>
          <w:spacing w:val="-11"/>
        </w:rPr>
        <w:t> </w:t>
      </w:r>
      <w:r>
        <w:rPr/>
        <w:t>responsables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número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días destinado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cada</w:t>
      </w:r>
      <w:r>
        <w:rPr>
          <w:spacing w:val="-5"/>
        </w:rPr>
        <w:t> </w:t>
      </w:r>
      <w:r>
        <w:rPr/>
        <w:t>hito,</w:t>
      </w:r>
      <w:r>
        <w:rPr>
          <w:spacing w:val="-6"/>
        </w:rPr>
        <w:t> </w:t>
      </w:r>
      <w:r>
        <w:rPr/>
        <w:t>además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dar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posibilidad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integrar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actividades que estime conveniente, tomando en consideración los plazos indicados por el Ministerio, con el objetivo de lograr la implementación de los servicios de recaudación electrónica y la puesta en operación del mismo, de acuerdo al hito “0”, también definido en el presente Anexo.</w:t>
      </w:r>
    </w:p>
    <w:p>
      <w:pPr>
        <w:pStyle w:val="BodyText"/>
        <w:spacing w:before="159"/>
        <w:ind w:left="130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1189024</wp:posOffset>
                </wp:positionH>
                <wp:positionV relativeFrom="paragraph">
                  <wp:posOffset>239612</wp:posOffset>
                </wp:positionV>
                <wp:extent cx="2400935" cy="76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009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935" h="7620">
                              <a:moveTo>
                                <a:pt x="24005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400554" y="7620"/>
                              </a:lnTo>
                              <a:lnTo>
                                <a:pt x="2400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624001pt;margin-top:18.867159pt;width:189.02pt;height:.600010pt;mso-position-horizontal-relative:page;mso-position-vertical-relative:paragraph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Formato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Carta</w:t>
      </w:r>
      <w:r>
        <w:rPr>
          <w:spacing w:val="-6"/>
        </w:rPr>
        <w:t> </w:t>
      </w:r>
      <w:r>
        <w:rPr/>
        <w:t>Gantt</w:t>
      </w:r>
      <w:r>
        <w:rPr>
          <w:position w:val="7"/>
          <w:sz w:val="13"/>
        </w:rPr>
        <w:t>30</w:t>
      </w:r>
      <w:r>
        <w:rPr>
          <w:spacing w:val="18"/>
          <w:position w:val="7"/>
          <w:sz w:val="13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presentar: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31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2552"/>
        <w:gridCol w:w="1419"/>
        <w:gridCol w:w="1276"/>
        <w:gridCol w:w="1136"/>
        <w:gridCol w:w="709"/>
      </w:tblGrid>
      <w:tr>
        <w:trPr>
          <w:trHeight w:val="302" w:hRule="atLeast"/>
        </w:trPr>
        <w:tc>
          <w:tcPr>
            <w:tcW w:w="3121" w:type="dxa"/>
            <w:vMerge w:val="restart"/>
            <w:tcBorders>
              <w:bottom w:val="nil"/>
              <w:right w:val="single" w:sz="4" w:space="0" w:color="D9D9D9"/>
            </w:tcBorders>
            <w:shd w:val="clear" w:color="auto" w:fill="000000"/>
          </w:tcPr>
          <w:p>
            <w:pPr>
              <w:pStyle w:val="TableParagraph"/>
              <w:spacing w:before="53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Ítem</w:t>
            </w:r>
          </w:p>
        </w:tc>
        <w:tc>
          <w:tcPr>
            <w:tcW w:w="2552" w:type="dxa"/>
            <w:vMerge w:val="restart"/>
            <w:tcBorders>
              <w:left w:val="single" w:sz="4" w:space="0" w:color="D9D9D9"/>
              <w:bottom w:val="nil"/>
              <w:right w:val="single" w:sz="4" w:space="0" w:color="D9D9D9"/>
            </w:tcBorders>
            <w:shd w:val="clear" w:color="auto" w:fill="000000"/>
          </w:tcPr>
          <w:p>
            <w:pPr>
              <w:pStyle w:val="TableParagraph"/>
              <w:spacing w:before="53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743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Descripción</w:t>
            </w:r>
          </w:p>
        </w:tc>
        <w:tc>
          <w:tcPr>
            <w:tcW w:w="1419" w:type="dxa"/>
            <w:vMerge w:val="restart"/>
            <w:tcBorders>
              <w:left w:val="single" w:sz="4" w:space="0" w:color="D9D9D9"/>
              <w:bottom w:val="nil"/>
              <w:right w:val="single" w:sz="4" w:space="0" w:color="D9D9D9"/>
            </w:tcBorders>
            <w:shd w:val="clear" w:color="auto" w:fill="000000"/>
          </w:tcPr>
          <w:p>
            <w:pPr>
              <w:pStyle w:val="TableParagraph"/>
              <w:spacing w:before="53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129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Responsable</w:t>
            </w:r>
          </w:p>
        </w:tc>
        <w:tc>
          <w:tcPr>
            <w:tcW w:w="3121" w:type="dxa"/>
            <w:gridSpan w:val="3"/>
            <w:tcBorders>
              <w:left w:val="single" w:sz="4" w:space="0" w:color="D9D9D9"/>
              <w:bottom w:val="single" w:sz="4" w:space="0" w:color="D9D9D9"/>
            </w:tcBorders>
            <w:shd w:val="clear" w:color="auto" w:fill="000000"/>
          </w:tcPr>
          <w:p>
            <w:pPr>
              <w:pStyle w:val="TableParagraph"/>
              <w:spacing w:line="266" w:lineRule="exact" w:before="16"/>
              <w:ind w:left="9" w:right="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Fechas</w:t>
            </w:r>
          </w:p>
        </w:tc>
      </w:tr>
      <w:tr>
        <w:trPr>
          <w:trHeight w:val="604" w:hRule="atLeast"/>
        </w:trPr>
        <w:tc>
          <w:tcPr>
            <w:tcW w:w="3121" w:type="dxa"/>
            <w:vMerge/>
            <w:tcBorders>
              <w:top w:val="nil"/>
              <w:bottom w:val="nil"/>
              <w:right w:val="single" w:sz="4" w:space="0" w:color="D9D9D9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000000"/>
            <w:textDirection w:val="btLr"/>
          </w:tcPr>
          <w:p>
            <w:pPr>
              <w:pStyle w:val="TableParagraph"/>
              <w:spacing w:before="232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5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Inicio</w:t>
            </w:r>
          </w:p>
        </w:tc>
        <w:tc>
          <w:tcPr>
            <w:tcW w:w="113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000000"/>
            <w:textDirection w:val="btLr"/>
          </w:tcPr>
          <w:p>
            <w:pPr>
              <w:pStyle w:val="TableParagraph"/>
              <w:spacing w:before="161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167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Fin</w:t>
            </w:r>
          </w:p>
        </w:tc>
        <w:tc>
          <w:tcPr>
            <w:tcW w:w="709" w:type="dxa"/>
            <w:tcBorders>
              <w:top w:val="single" w:sz="4" w:space="0" w:color="D9D9D9"/>
              <w:left w:val="single" w:sz="4" w:space="0" w:color="D9D9D9"/>
              <w:bottom w:val="nil"/>
            </w:tcBorders>
            <w:shd w:val="clear" w:color="auto" w:fill="000000"/>
            <w:textDirection w:val="btLr"/>
          </w:tcPr>
          <w:p>
            <w:pPr>
              <w:pStyle w:val="TableParagraph"/>
              <w:spacing w:before="214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Días</w:t>
            </w:r>
          </w:p>
        </w:tc>
      </w:tr>
      <w:tr>
        <w:trPr>
          <w:trHeight w:val="532" w:hRule="atLeast"/>
        </w:trPr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3"/>
              <w:ind w:left="69" w:right="5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Actividades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asociadas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actos administrativos y toma de </w:t>
            </w:r>
            <w:r>
              <w:rPr>
                <w:b/>
                <w:spacing w:val="-2"/>
                <w:sz w:val="22"/>
              </w:rPr>
              <w:t>contacto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Kickoff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Inicial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Reuniones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coordinación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01-02-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Análisis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diseño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la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solución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4" w:hRule="atLeast"/>
        </w:trPr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48"/>
              <w:rPr>
                <w:rFonts w:ascii="Verdana"/>
                <w:sz w:val="22"/>
              </w:rPr>
            </w:pPr>
          </w:p>
          <w:p>
            <w:pPr>
              <w:pStyle w:val="TableParagraph"/>
              <w:tabs>
                <w:tab w:pos="1565" w:val="left" w:leader="none"/>
                <w:tab w:pos="2884" w:val="left" w:leader="none"/>
              </w:tabs>
              <w:spacing w:line="237" w:lineRule="auto"/>
              <w:ind w:left="69" w:right="6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Actividades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asociadas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al </w:t>
            </w:r>
            <w:r>
              <w:rPr>
                <w:b/>
                <w:sz w:val="22"/>
              </w:rPr>
              <w:t>provisionamiento de Hardware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Provisión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medios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de acceso close loop</w:t>
            </w:r>
          </w:p>
          <w:p>
            <w:pPr>
              <w:pStyle w:val="TableParagraph"/>
              <w:spacing w:line="24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(Tarjetas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transporte)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Provisión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Validadores</w:t>
            </w:r>
          </w:p>
          <w:p>
            <w:pPr>
              <w:pStyle w:val="TableParagraph"/>
              <w:spacing w:line="24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medios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acceso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Provisión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dispositivos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fiscalización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5" w:hRule="atLeast"/>
        </w:trPr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6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69" w:right="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Actividades relacionadas a la configuración de los sistemas </w:t>
            </w:r>
            <w:r>
              <w:rPr>
                <w:b/>
                <w:spacing w:val="-2"/>
                <w:sz w:val="22"/>
              </w:rPr>
              <w:t>centrales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Configuración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tarifaria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3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atLeas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Enrolamiento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Buses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y </w:t>
            </w:r>
            <w:r>
              <w:rPr>
                <w:b/>
                <w:spacing w:val="-2"/>
                <w:sz w:val="22"/>
              </w:rPr>
              <w:t>conductores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9" w:hRule="atLeast"/>
        </w:trPr>
        <w:tc>
          <w:tcPr>
            <w:tcW w:w="3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Configuración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reglas</w:t>
            </w:r>
          </w:p>
          <w:p>
            <w:pPr>
              <w:pStyle w:val="TableParagraph"/>
              <w:spacing w:line="251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negocio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1189024</wp:posOffset>
                </wp:positionH>
                <wp:positionV relativeFrom="paragraph">
                  <wp:posOffset>217889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624001pt;margin-top:17.156660pt;width:144.020pt;height:.72003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0"/>
        <w:ind w:left="1306" w:right="0" w:firstLine="0"/>
        <w:jc w:val="left"/>
        <w:rPr>
          <w:sz w:val="16"/>
        </w:rPr>
      </w:pPr>
      <w:r>
        <w:rPr>
          <w:sz w:val="16"/>
          <w:vertAlign w:val="superscript"/>
        </w:rPr>
        <w:t>29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Considerar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referencialmente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como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fecha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inicio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el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1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febrero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del</w:t>
      </w:r>
      <w:r>
        <w:rPr>
          <w:spacing w:val="-4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2026.</w:t>
      </w:r>
    </w:p>
    <w:p>
      <w:pPr>
        <w:spacing w:before="0"/>
        <w:ind w:left="1306" w:right="0" w:firstLine="0"/>
        <w:jc w:val="left"/>
        <w:rPr>
          <w:sz w:val="16"/>
        </w:rPr>
      </w:pPr>
      <w:r>
        <w:rPr>
          <w:sz w:val="16"/>
          <w:vertAlign w:val="superscript"/>
        </w:rPr>
        <w:t>30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Este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es</w:t>
      </w:r>
      <w:r>
        <w:rPr>
          <w:spacing w:val="23"/>
          <w:sz w:val="16"/>
          <w:vertAlign w:val="baseline"/>
        </w:rPr>
        <w:t> </w:t>
      </w:r>
      <w:r>
        <w:rPr>
          <w:sz w:val="16"/>
          <w:vertAlign w:val="baseline"/>
        </w:rPr>
        <w:t>el</w:t>
      </w:r>
      <w:r>
        <w:rPr>
          <w:spacing w:val="23"/>
          <w:sz w:val="16"/>
          <w:vertAlign w:val="baseline"/>
        </w:rPr>
        <w:t> </w:t>
      </w:r>
      <w:r>
        <w:rPr>
          <w:sz w:val="16"/>
          <w:vertAlign w:val="baseline"/>
        </w:rPr>
        <w:t>formato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24"/>
          <w:sz w:val="16"/>
          <w:vertAlign w:val="baseline"/>
        </w:rPr>
        <w:t> </w:t>
      </w:r>
      <w:r>
        <w:rPr>
          <w:sz w:val="16"/>
          <w:vertAlign w:val="baseline"/>
        </w:rPr>
        <w:t>adjuntar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dentro</w:t>
      </w:r>
      <w:r>
        <w:rPr>
          <w:spacing w:val="23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la</w:t>
      </w:r>
      <w:r>
        <w:rPr>
          <w:spacing w:val="21"/>
          <w:sz w:val="16"/>
          <w:vertAlign w:val="baseline"/>
        </w:rPr>
        <w:t> </w:t>
      </w:r>
      <w:r>
        <w:rPr>
          <w:sz w:val="16"/>
          <w:vertAlign w:val="baseline"/>
        </w:rPr>
        <w:t>oferta,</w:t>
      </w:r>
      <w:r>
        <w:rPr>
          <w:spacing w:val="24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acuerdo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23"/>
          <w:sz w:val="16"/>
          <w:vertAlign w:val="baseline"/>
        </w:rPr>
        <w:t> </w:t>
      </w:r>
      <w:r>
        <w:rPr>
          <w:sz w:val="16"/>
          <w:vertAlign w:val="baseline"/>
        </w:rPr>
        <w:t>lo</w:t>
      </w:r>
      <w:r>
        <w:rPr>
          <w:spacing w:val="23"/>
          <w:sz w:val="16"/>
          <w:vertAlign w:val="baseline"/>
        </w:rPr>
        <w:t> </w:t>
      </w:r>
      <w:r>
        <w:rPr>
          <w:sz w:val="16"/>
          <w:vertAlign w:val="baseline"/>
        </w:rPr>
        <w:t>indicado</w:t>
      </w:r>
      <w:r>
        <w:rPr>
          <w:spacing w:val="24"/>
          <w:sz w:val="16"/>
          <w:vertAlign w:val="baseline"/>
        </w:rPr>
        <w:t> </w:t>
      </w:r>
      <w:r>
        <w:rPr>
          <w:sz w:val="16"/>
          <w:vertAlign w:val="baseline"/>
        </w:rPr>
        <w:t>en</w:t>
      </w:r>
      <w:r>
        <w:rPr>
          <w:spacing w:val="23"/>
          <w:sz w:val="16"/>
          <w:vertAlign w:val="baseline"/>
        </w:rPr>
        <w:t> </w:t>
      </w:r>
      <w:r>
        <w:rPr>
          <w:sz w:val="16"/>
          <w:vertAlign w:val="baseline"/>
        </w:rPr>
        <w:t>el</w:t>
      </w:r>
      <w:r>
        <w:rPr>
          <w:spacing w:val="22"/>
          <w:sz w:val="16"/>
          <w:vertAlign w:val="baseline"/>
        </w:rPr>
        <w:t> </w:t>
      </w:r>
      <w:r>
        <w:rPr>
          <w:sz w:val="16"/>
          <w:vertAlign w:val="baseline"/>
        </w:rPr>
        <w:t>punto</w:t>
      </w:r>
      <w:r>
        <w:rPr>
          <w:spacing w:val="25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1.8.1.</w:t>
      </w:r>
    </w:p>
    <w:p>
      <w:pPr>
        <w:spacing w:before="0"/>
        <w:ind w:left="1306" w:right="0" w:firstLine="0"/>
        <w:jc w:val="left"/>
        <w:rPr>
          <w:sz w:val="16"/>
        </w:rPr>
      </w:pPr>
      <w:r>
        <w:rPr>
          <w:sz w:val="16"/>
        </w:rPr>
        <w:t>“Antecedentes</w:t>
      </w:r>
      <w:r>
        <w:rPr>
          <w:spacing w:val="-6"/>
          <w:sz w:val="16"/>
        </w:rPr>
        <w:t> </w:t>
      </w:r>
      <w:r>
        <w:rPr>
          <w:sz w:val="16"/>
        </w:rPr>
        <w:t>Generales”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las</w:t>
      </w:r>
      <w:r>
        <w:rPr>
          <w:spacing w:val="-4"/>
          <w:sz w:val="16"/>
        </w:rPr>
        <w:t> </w:t>
      </w:r>
      <w:r>
        <w:rPr>
          <w:sz w:val="16"/>
        </w:rPr>
        <w:t>Bases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Administrativas.</w:t>
      </w:r>
    </w:p>
    <w:p>
      <w:pPr>
        <w:spacing w:after="0"/>
        <w:jc w:val="left"/>
        <w:rPr>
          <w:sz w:val="16"/>
        </w:rPr>
        <w:sectPr>
          <w:pgSz w:w="12250" w:h="18730"/>
          <w:pgMar w:header="662" w:footer="0" w:top="1920" w:bottom="280" w:left="566" w:right="992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1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2552"/>
        <w:gridCol w:w="1419"/>
        <w:gridCol w:w="1276"/>
        <w:gridCol w:w="1136"/>
        <w:gridCol w:w="709"/>
      </w:tblGrid>
      <w:tr>
        <w:trPr>
          <w:trHeight w:val="299" w:hRule="atLeast"/>
        </w:trPr>
        <w:tc>
          <w:tcPr>
            <w:tcW w:w="3121" w:type="dxa"/>
            <w:vMerge w:val="restart"/>
            <w:tcBorders>
              <w:right w:val="single" w:sz="4" w:space="0" w:color="D9D9D9"/>
            </w:tcBorders>
            <w:shd w:val="clear" w:color="auto" w:fill="000000"/>
          </w:tcPr>
          <w:p>
            <w:pPr>
              <w:pStyle w:val="TableParagraph"/>
              <w:spacing w:before="50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Ítem</w:t>
            </w:r>
          </w:p>
        </w:tc>
        <w:tc>
          <w:tcPr>
            <w:tcW w:w="2552" w:type="dxa"/>
            <w:vMerge w:val="restart"/>
            <w:tcBorders>
              <w:left w:val="single" w:sz="4" w:space="0" w:color="D9D9D9"/>
              <w:right w:val="single" w:sz="4" w:space="0" w:color="D9D9D9"/>
            </w:tcBorders>
            <w:shd w:val="clear" w:color="auto" w:fill="000000"/>
          </w:tcPr>
          <w:p>
            <w:pPr>
              <w:pStyle w:val="TableParagraph"/>
              <w:spacing w:before="50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743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Descripción</w:t>
            </w:r>
          </w:p>
        </w:tc>
        <w:tc>
          <w:tcPr>
            <w:tcW w:w="1419" w:type="dxa"/>
            <w:vMerge w:val="restart"/>
            <w:tcBorders>
              <w:left w:val="single" w:sz="4" w:space="0" w:color="D9D9D9"/>
              <w:right w:val="single" w:sz="4" w:space="0" w:color="D9D9D9"/>
            </w:tcBorders>
            <w:shd w:val="clear" w:color="auto" w:fill="000000"/>
          </w:tcPr>
          <w:p>
            <w:pPr>
              <w:pStyle w:val="TableParagraph"/>
              <w:spacing w:before="50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129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Responsable</w:t>
            </w:r>
          </w:p>
        </w:tc>
        <w:tc>
          <w:tcPr>
            <w:tcW w:w="3121" w:type="dxa"/>
            <w:gridSpan w:val="3"/>
            <w:tcBorders>
              <w:left w:val="single" w:sz="4" w:space="0" w:color="D9D9D9"/>
              <w:bottom w:val="single" w:sz="4" w:space="0" w:color="D9D9D9"/>
            </w:tcBorders>
            <w:shd w:val="clear" w:color="auto" w:fill="000000"/>
          </w:tcPr>
          <w:p>
            <w:pPr>
              <w:pStyle w:val="TableParagraph"/>
              <w:spacing w:line="266" w:lineRule="exact" w:before="13"/>
              <w:ind w:left="9" w:right="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Fechas</w:t>
            </w:r>
          </w:p>
        </w:tc>
      </w:tr>
      <w:tr>
        <w:trPr>
          <w:trHeight w:val="599" w:hRule="atLeast"/>
        </w:trPr>
        <w:tc>
          <w:tcPr>
            <w:tcW w:w="3121" w:type="dxa"/>
            <w:vMerge/>
            <w:tcBorders>
              <w:top w:val="nil"/>
              <w:right w:val="single" w:sz="4" w:space="0" w:color="D9D9D9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D9D9D9"/>
              <w:right w:val="single" w:sz="4" w:space="0" w:color="D9D9D9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D9D9D9"/>
              <w:right w:val="single" w:sz="4" w:space="0" w:color="D9D9D9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shd w:val="clear" w:color="auto" w:fill="000000"/>
            <w:textDirection w:val="btLr"/>
          </w:tcPr>
          <w:p>
            <w:pPr>
              <w:pStyle w:val="TableParagraph"/>
              <w:spacing w:before="232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Inicio</w:t>
            </w:r>
          </w:p>
        </w:tc>
        <w:tc>
          <w:tcPr>
            <w:tcW w:w="1136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shd w:val="clear" w:color="auto" w:fill="000000"/>
            <w:textDirection w:val="btLr"/>
          </w:tcPr>
          <w:p>
            <w:pPr>
              <w:pStyle w:val="TableParagraph"/>
              <w:spacing w:before="161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162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Fin</w:t>
            </w:r>
          </w:p>
        </w:tc>
        <w:tc>
          <w:tcPr>
            <w:tcW w:w="709" w:type="dxa"/>
            <w:tcBorders>
              <w:top w:val="single" w:sz="4" w:space="0" w:color="D9D9D9"/>
              <w:left w:val="single" w:sz="4" w:space="0" w:color="D9D9D9"/>
            </w:tcBorders>
            <w:shd w:val="clear" w:color="auto" w:fill="000000"/>
            <w:textDirection w:val="btLr"/>
          </w:tcPr>
          <w:p>
            <w:pPr>
              <w:pStyle w:val="TableParagraph"/>
              <w:spacing w:before="214"/>
              <w:ind w:left="105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Días</w:t>
            </w:r>
          </w:p>
        </w:tc>
      </w:tr>
      <w:tr>
        <w:trPr>
          <w:trHeight w:val="551" w:hRule="atLeast"/>
        </w:trPr>
        <w:tc>
          <w:tcPr>
            <w:tcW w:w="31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69" w:right="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Actividades relacionadas a procesos de instalación de </w:t>
            </w:r>
            <w:r>
              <w:rPr>
                <w:b/>
                <w:spacing w:val="-2"/>
                <w:sz w:val="22"/>
              </w:rPr>
              <w:t>Hardware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50" w:val="left" w:leader="none"/>
                <w:tab w:pos="1959" w:val="left" w:leader="none"/>
              </w:tabs>
              <w:spacing w:line="270" w:lineRule="atLeast"/>
              <w:ind w:left="69" w:right="5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Preparación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4"/>
                <w:sz w:val="22"/>
              </w:rPr>
              <w:t>buses </w:t>
            </w:r>
            <w:r>
              <w:rPr>
                <w:b/>
                <w:sz w:val="22"/>
              </w:rPr>
              <w:t>(Instalación eléctrica)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6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Instalación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Validadores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34"/>
              <w:rPr>
                <w:rFonts w:ascii="Verdana"/>
                <w:sz w:val="22"/>
              </w:rPr>
            </w:pPr>
          </w:p>
          <w:p>
            <w:pPr>
              <w:pStyle w:val="TableParagraph"/>
              <w:tabs>
                <w:tab w:pos="1429" w:val="left" w:leader="none"/>
                <w:tab w:pos="2887" w:val="left" w:leader="none"/>
              </w:tabs>
              <w:ind w:left="69" w:right="6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Actividades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relacionadas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al </w:t>
            </w:r>
            <w:r>
              <w:rPr>
                <w:b/>
                <w:sz w:val="22"/>
              </w:rPr>
              <w:t>Testing de los servicios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Pruebas</w:t>
            </w:r>
            <w:r>
              <w:rPr>
                <w:b/>
                <w:spacing w:val="39"/>
                <w:sz w:val="22"/>
              </w:rPr>
              <w:t> 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9"/>
                <w:sz w:val="22"/>
              </w:rPr>
              <w:t>  </w:t>
            </w:r>
            <w:r>
              <w:rPr>
                <w:b/>
                <w:sz w:val="22"/>
              </w:rPr>
              <w:t>medios</w:t>
            </w:r>
            <w:r>
              <w:rPr>
                <w:b/>
                <w:spacing w:val="39"/>
                <w:sz w:val="22"/>
              </w:rPr>
              <w:t>  </w:t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acceso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3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16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Pruebas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Clearing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4" w:hRule="atLeast"/>
        </w:trPr>
        <w:tc>
          <w:tcPr>
            <w:tcW w:w="3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38" w:val="left" w:leader="none"/>
                <w:tab w:pos="1474" w:val="left" w:leader="none"/>
                <w:tab w:pos="2250" w:val="left" w:leader="none"/>
              </w:tabs>
              <w:ind w:left="69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Pruebas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sistemas </w:t>
            </w:r>
            <w:r>
              <w:rPr>
                <w:b/>
                <w:spacing w:val="-2"/>
                <w:sz w:val="22"/>
              </w:rPr>
              <w:t>centrales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y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reglas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negocio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Pruebas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APP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usuario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final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Página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Web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5" w:hRule="atLeast"/>
        </w:trPr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3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69" w:right="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Actividades relacionadas a la Constitución del Administrador </w:t>
            </w:r>
            <w:r>
              <w:rPr>
                <w:b/>
                <w:spacing w:val="-2"/>
                <w:sz w:val="22"/>
              </w:rPr>
              <w:t>Financiero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8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Constitución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6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Gestión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garantías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5" w:hRule="atLeast"/>
        </w:trPr>
        <w:tc>
          <w:tcPr>
            <w:tcW w:w="3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03" w:val="left" w:leader="none"/>
                <w:tab w:pos="1743" w:val="left" w:leader="none"/>
              </w:tabs>
              <w:ind w:left="69" w:right="5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Apertura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Cuentas </w:t>
            </w:r>
            <w:r>
              <w:rPr>
                <w:b/>
                <w:sz w:val="22"/>
              </w:rPr>
              <w:t>bancarias</w:t>
            </w:r>
            <w:r>
              <w:rPr>
                <w:b/>
                <w:spacing w:val="6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62"/>
                <w:sz w:val="22"/>
              </w:rPr>
              <w:t> </w:t>
            </w:r>
            <w:r>
              <w:rPr>
                <w:b/>
                <w:sz w:val="22"/>
              </w:rPr>
              <w:t>provisión</w:t>
            </w:r>
            <w:r>
              <w:rPr>
                <w:b/>
                <w:spacing w:val="6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fondos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Firma</w:t>
            </w:r>
            <w:r>
              <w:rPr>
                <w:b/>
                <w:spacing w:val="62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6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Contratos</w:t>
            </w:r>
            <w:r>
              <w:rPr>
                <w:b/>
                <w:spacing w:val="64"/>
                <w:w w:val="15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con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PST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3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Actividades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relacionadas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la Red de Carga y Adquirente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Selección</w:t>
            </w:r>
            <w:r>
              <w:rPr>
                <w:b/>
                <w:spacing w:val="68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66"/>
                <w:w w:val="15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contratación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Adquirente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4" w:hRule="atLeast"/>
        </w:trPr>
        <w:tc>
          <w:tcPr>
            <w:tcW w:w="3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377" w:val="left" w:leader="none"/>
              </w:tabs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Actividades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y</w:t>
            </w:r>
          </w:p>
          <w:p>
            <w:pPr>
              <w:pStyle w:val="TableParagraph"/>
              <w:tabs>
                <w:tab w:pos="1717" w:val="left" w:leader="none"/>
                <w:tab w:pos="2316" w:val="left" w:leader="none"/>
              </w:tabs>
              <w:spacing w:line="270" w:lineRule="atLeast"/>
              <w:ind w:left="69" w:right="5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comprobaciones relacionadas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a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la </w:t>
            </w:r>
            <w:r>
              <w:rPr>
                <w:b/>
                <w:sz w:val="22"/>
              </w:rPr>
              <w:t>certificación L1, L2 y L3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3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Selección</w:t>
            </w:r>
            <w:r>
              <w:rPr>
                <w:b/>
                <w:spacing w:val="68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66"/>
                <w:w w:val="15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contratación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Carga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54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Actividades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relacionadas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la </w:t>
            </w:r>
            <w:r>
              <w:rPr>
                <w:b/>
                <w:spacing w:val="-2"/>
                <w:sz w:val="22"/>
              </w:rPr>
              <w:t>capacitación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252" w:val="left" w:leader="none"/>
              </w:tabs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Preparación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capacitaciones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Capacitación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personal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oferente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adjudicado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6" w:hRule="atLeast"/>
        </w:trPr>
        <w:tc>
          <w:tcPr>
            <w:tcW w:w="3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19" w:val="left" w:leader="none"/>
                <w:tab w:pos="1614" w:val="left" w:leader="none"/>
                <w:tab w:pos="2198" w:val="left" w:leader="none"/>
              </w:tabs>
              <w:ind w:left="69" w:right="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Capacitación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los </w:t>
            </w:r>
            <w:r>
              <w:rPr>
                <w:b/>
                <w:spacing w:val="-2"/>
                <w:sz w:val="22"/>
              </w:rPr>
              <w:t>usuarios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externos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del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sistema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2" w:hRule="atLeast"/>
        </w:trPr>
        <w:tc>
          <w:tcPr>
            <w:tcW w:w="3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9" w:right="5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Capacitación de los PST, personal con </w:t>
            </w:r>
            <w:r>
              <w:rPr>
                <w:b/>
                <w:sz w:val="22"/>
              </w:rPr>
              <w:t>rol Administrador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DTPR</w:t>
            </w:r>
          </w:p>
          <w:p>
            <w:pPr>
              <w:pStyle w:val="TableParagraph"/>
              <w:spacing w:line="248" w:lineRule="exact"/>
              <w:ind w:left="6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y</w:t>
            </w:r>
            <w:r>
              <w:rPr>
                <w:b/>
                <w:spacing w:val="-2"/>
                <w:sz w:val="22"/>
              </w:rPr>
              <w:t> conductores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5" w:hRule="atLeast"/>
        </w:trPr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9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69" w:right="166"/>
              <w:rPr>
                <w:b/>
                <w:sz w:val="22"/>
              </w:rPr>
            </w:pPr>
            <w:r>
              <w:rPr>
                <w:b/>
                <w:sz w:val="22"/>
              </w:rPr>
              <w:t>Actividades relacionadas a la implementación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Tótem (si hubiese sido ofertado)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69" w:right="57"/>
              <w:rPr>
                <w:b/>
                <w:sz w:val="22"/>
              </w:rPr>
            </w:pPr>
            <w:r>
              <w:rPr>
                <w:b/>
                <w:sz w:val="22"/>
              </w:rPr>
              <w:t>Preparación del hardware y software de los Tótem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253" w:val="left" w:leader="none"/>
              </w:tabs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Pruebas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funcionamiento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49" w:val="left" w:leader="none"/>
                <w:tab w:pos="1742" w:val="left" w:leader="none"/>
              </w:tabs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Instalación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y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pruebas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finales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6" w:hRule="atLeast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3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Actividades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enrolamiento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del adulto mayor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Actividades</w:t>
            </w:r>
            <w:r>
              <w:rPr>
                <w:b/>
                <w:spacing w:val="44"/>
                <w:sz w:val="22"/>
              </w:rPr>
              <w:t> 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4"/>
                <w:sz w:val="22"/>
              </w:rPr>
              <w:t>  </w:t>
            </w:r>
            <w:r>
              <w:rPr>
                <w:b/>
                <w:spacing w:val="-2"/>
                <w:sz w:val="22"/>
              </w:rPr>
              <w:t>difusión</w:t>
            </w:r>
          </w:p>
          <w:p>
            <w:pPr>
              <w:pStyle w:val="TableParagraph"/>
              <w:spacing w:line="270" w:lineRule="atLeas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para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convocatoria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del adulto mayor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50" w:h="18730"/>
          <w:pgMar w:header="662" w:footer="0" w:top="1920" w:bottom="280" w:left="566" w:right="992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1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2552"/>
        <w:gridCol w:w="1419"/>
        <w:gridCol w:w="1276"/>
        <w:gridCol w:w="1136"/>
        <w:gridCol w:w="709"/>
      </w:tblGrid>
      <w:tr>
        <w:trPr>
          <w:trHeight w:val="299" w:hRule="atLeast"/>
        </w:trPr>
        <w:tc>
          <w:tcPr>
            <w:tcW w:w="3121" w:type="dxa"/>
            <w:vMerge w:val="restart"/>
            <w:tcBorders>
              <w:bottom w:val="nil"/>
              <w:right w:val="single" w:sz="4" w:space="0" w:color="D9D9D9"/>
            </w:tcBorders>
            <w:shd w:val="clear" w:color="auto" w:fill="000000"/>
          </w:tcPr>
          <w:p>
            <w:pPr>
              <w:pStyle w:val="TableParagraph"/>
              <w:spacing w:before="50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Ítem</w:t>
            </w:r>
          </w:p>
        </w:tc>
        <w:tc>
          <w:tcPr>
            <w:tcW w:w="2552" w:type="dxa"/>
            <w:vMerge w:val="restart"/>
            <w:tcBorders>
              <w:left w:val="single" w:sz="4" w:space="0" w:color="D9D9D9"/>
              <w:bottom w:val="nil"/>
              <w:right w:val="single" w:sz="4" w:space="0" w:color="D9D9D9"/>
            </w:tcBorders>
            <w:shd w:val="clear" w:color="auto" w:fill="000000"/>
          </w:tcPr>
          <w:p>
            <w:pPr>
              <w:pStyle w:val="TableParagraph"/>
              <w:spacing w:before="50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743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Descripción</w:t>
            </w:r>
          </w:p>
        </w:tc>
        <w:tc>
          <w:tcPr>
            <w:tcW w:w="1419" w:type="dxa"/>
            <w:vMerge w:val="restart"/>
            <w:tcBorders>
              <w:left w:val="single" w:sz="4" w:space="0" w:color="D9D9D9"/>
              <w:bottom w:val="nil"/>
              <w:right w:val="single" w:sz="4" w:space="0" w:color="D9D9D9"/>
            </w:tcBorders>
            <w:shd w:val="clear" w:color="auto" w:fill="000000"/>
          </w:tcPr>
          <w:p>
            <w:pPr>
              <w:pStyle w:val="TableParagraph"/>
              <w:spacing w:before="50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129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Responsable</w:t>
            </w:r>
          </w:p>
        </w:tc>
        <w:tc>
          <w:tcPr>
            <w:tcW w:w="3121" w:type="dxa"/>
            <w:gridSpan w:val="3"/>
            <w:tcBorders>
              <w:left w:val="single" w:sz="4" w:space="0" w:color="D9D9D9"/>
              <w:bottom w:val="single" w:sz="4" w:space="0" w:color="D9D9D9"/>
            </w:tcBorders>
            <w:shd w:val="clear" w:color="auto" w:fill="000000"/>
          </w:tcPr>
          <w:p>
            <w:pPr>
              <w:pStyle w:val="TableParagraph"/>
              <w:spacing w:line="266" w:lineRule="exact" w:before="13"/>
              <w:ind w:left="9" w:right="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Fechas</w:t>
            </w:r>
          </w:p>
        </w:tc>
      </w:tr>
      <w:tr>
        <w:trPr>
          <w:trHeight w:val="604" w:hRule="atLeast"/>
        </w:trPr>
        <w:tc>
          <w:tcPr>
            <w:tcW w:w="3121" w:type="dxa"/>
            <w:vMerge/>
            <w:tcBorders>
              <w:top w:val="nil"/>
              <w:bottom w:val="nil"/>
              <w:right w:val="single" w:sz="4" w:space="0" w:color="D9D9D9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000000"/>
            <w:textDirection w:val="btLr"/>
          </w:tcPr>
          <w:p>
            <w:pPr>
              <w:pStyle w:val="TableParagraph"/>
              <w:spacing w:before="232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5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Inicio</w:t>
            </w:r>
          </w:p>
        </w:tc>
        <w:tc>
          <w:tcPr>
            <w:tcW w:w="113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000000"/>
            <w:textDirection w:val="btLr"/>
          </w:tcPr>
          <w:p>
            <w:pPr>
              <w:pStyle w:val="TableParagraph"/>
              <w:spacing w:before="161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167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Fin</w:t>
            </w:r>
          </w:p>
        </w:tc>
        <w:tc>
          <w:tcPr>
            <w:tcW w:w="709" w:type="dxa"/>
            <w:tcBorders>
              <w:top w:val="single" w:sz="4" w:space="0" w:color="D9D9D9"/>
              <w:left w:val="single" w:sz="4" w:space="0" w:color="D9D9D9"/>
              <w:bottom w:val="nil"/>
            </w:tcBorders>
            <w:shd w:val="clear" w:color="auto" w:fill="000000"/>
            <w:textDirection w:val="btLr"/>
          </w:tcPr>
          <w:p>
            <w:pPr>
              <w:pStyle w:val="TableParagraph"/>
              <w:spacing w:before="214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Días</w:t>
            </w:r>
          </w:p>
        </w:tc>
      </w:tr>
      <w:tr>
        <w:trPr>
          <w:trHeight w:val="801" w:hRule="atLeast"/>
        </w:trPr>
        <w:tc>
          <w:tcPr>
            <w:tcW w:w="31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31" w:val="left" w:leader="none"/>
                <w:tab w:pos="2230" w:val="left" w:leader="none"/>
              </w:tabs>
              <w:ind w:left="69" w:right="57"/>
              <w:rPr>
                <w:b/>
                <w:sz w:val="22"/>
              </w:rPr>
            </w:pPr>
            <w:r>
              <w:rPr>
                <w:b/>
                <w:sz w:val="22"/>
              </w:rPr>
              <w:t>Gestión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78"/>
                <w:sz w:val="22"/>
              </w:rPr>
              <w:t> </w:t>
            </w:r>
            <w:r>
              <w:rPr>
                <w:b/>
                <w:sz w:val="22"/>
              </w:rPr>
              <w:t>locaciones</w:t>
            </w:r>
            <w:r>
              <w:rPr>
                <w:b/>
                <w:spacing w:val="78"/>
                <w:sz w:val="22"/>
              </w:rPr>
              <w:t> </w:t>
            </w:r>
            <w:r>
              <w:rPr>
                <w:b/>
                <w:sz w:val="22"/>
              </w:rPr>
              <w:t>y </w:t>
            </w:r>
            <w:r>
              <w:rPr>
                <w:b/>
                <w:spacing w:val="-2"/>
                <w:sz w:val="22"/>
              </w:rPr>
              <w:t>coordinación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las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convocatorias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44" w:hRule="atLeast"/>
        </w:trPr>
        <w:tc>
          <w:tcPr>
            <w:tcW w:w="3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9" w:right="5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Enrolamientos de adultos mayores,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capacitaciones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y entrega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tarjetas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con el</w:t>
            </w:r>
            <w:r>
              <w:rPr>
                <w:b/>
                <w:spacing w:val="58"/>
                <w:sz w:val="22"/>
              </w:rPr>
              <w:t>   </w:t>
            </w:r>
            <w:r>
              <w:rPr>
                <w:b/>
                <w:sz w:val="22"/>
              </w:rPr>
              <w:t>beneficio</w:t>
            </w:r>
            <w:r>
              <w:rPr>
                <w:b/>
                <w:spacing w:val="58"/>
                <w:sz w:val="22"/>
              </w:rPr>
              <w:t>   </w:t>
            </w:r>
            <w:r>
              <w:rPr>
                <w:b/>
                <w:spacing w:val="-2"/>
                <w:sz w:val="22"/>
              </w:rPr>
              <w:t>tarifario</w:t>
            </w:r>
          </w:p>
          <w:p>
            <w:pPr>
              <w:pStyle w:val="TableParagraph"/>
              <w:spacing w:line="250" w:lineRule="exact"/>
              <w:ind w:left="6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(Primera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Etapa)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5" w:hRule="atLeast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44" w:val="left" w:leader="none"/>
                <w:tab w:pos="1791" w:val="left" w:leader="none"/>
                <w:tab w:pos="2765" w:val="left" w:leader="none"/>
              </w:tabs>
              <w:spacing w:line="237" w:lineRule="auto" w:before="135"/>
              <w:ind w:left="69" w:right="6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Actividades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Difusión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4"/>
                <w:sz w:val="22"/>
              </w:rPr>
              <w:t>del </w:t>
            </w:r>
            <w:r>
              <w:rPr>
                <w:b/>
                <w:sz w:val="22"/>
              </w:rPr>
              <w:t>Recaudo electrónico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21" w:val="left" w:leader="none"/>
                <w:tab w:pos="1744" w:val="left" w:leader="none"/>
              </w:tabs>
              <w:ind w:left="69" w:right="5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Campaña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difusión </w:t>
            </w:r>
            <w:r>
              <w:rPr>
                <w:b/>
                <w:sz w:val="22"/>
              </w:rPr>
              <w:t>enfocada</w:t>
            </w:r>
            <w:r>
              <w:rPr>
                <w:b/>
                <w:spacing w:val="55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55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55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llegada</w:t>
            </w:r>
            <w:r>
              <w:rPr>
                <w:b/>
                <w:spacing w:val="55"/>
                <w:w w:val="150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50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penetración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servicio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2250" w:h="18730"/>
      <w:pgMar w:header="662" w:footer="0" w:top="1920" w:bottom="280" w:left="566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72608">
          <wp:simplePos x="0" y="0"/>
          <wp:positionH relativeFrom="page">
            <wp:posOffset>1089025</wp:posOffset>
          </wp:positionH>
          <wp:positionV relativeFrom="page">
            <wp:posOffset>420369</wp:posOffset>
          </wp:positionV>
          <wp:extent cx="790575" cy="71374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71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173120">
              <wp:simplePos x="0" y="0"/>
              <wp:positionH relativeFrom="page">
                <wp:posOffset>3206623</wp:posOffset>
              </wp:positionH>
              <wp:positionV relativeFrom="page">
                <wp:posOffset>754322</wp:posOffset>
              </wp:positionV>
              <wp:extent cx="3216910" cy="3740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216910" cy="374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1609" w:right="18" w:firstLine="1797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LICITACIÓN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SERVICIOS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RECAUDACIÓN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ELECTRÓNICA</w:t>
                          </w:r>
                        </w:p>
                        <w:p>
                          <w:pPr>
                            <w:spacing w:before="2"/>
                            <w:ind w:left="0" w:right="22" w:firstLine="0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TRANSPORTE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PÚBLICO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REGIÓN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BIOBÍO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2.490005pt;margin-top:59.395443pt;width:253.3pt;height:29.45pt;mso-position-horizontal-relative:page;mso-position-vertical-relative:page;z-index:-1614336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1609" w:right="18" w:firstLine="1797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LICITACIÓN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PÚBLICA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SERVICIOS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RECAUDACIÓN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ELECTRÓNICA</w:t>
                    </w:r>
                  </w:p>
                  <w:p>
                    <w:pPr>
                      <w:spacing w:before="2"/>
                      <w:ind w:left="0" w:right="22" w:firstLine="0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TRANSPORTE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PÚBLICO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REGIONAL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REGIÓN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BIOBÍO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306"/>
      <w:jc w:val="both"/>
      <w:outlineLvl w:val="1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Vergara Faundez</dc:creator>
  <dcterms:created xsi:type="dcterms:W3CDTF">2025-06-09T15:36:52Z</dcterms:created>
  <dcterms:modified xsi:type="dcterms:W3CDTF">2025-06-09T15:36:52Z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2019</vt:lpwstr>
  </property>
</Properties>
</file>