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8"/>
        </w:rPr>
        <w:t> </w:t>
      </w:r>
      <w:r>
        <w:rPr/>
        <w:t>N°10:</w:t>
      </w:r>
      <w:r>
        <w:rPr>
          <w:spacing w:val="-12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JURADA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INHABILIDADES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1"/>
        <w:rPr>
          <w:b/>
        </w:rPr>
      </w:pPr>
    </w:p>
    <w:p>
      <w:pPr>
        <w:pStyle w:val="BodyText"/>
        <w:tabs>
          <w:tab w:pos="1915" w:val="left" w:leader="none"/>
          <w:tab w:pos="2156" w:val="left" w:leader="none"/>
          <w:tab w:pos="3956" w:val="left" w:leader="none"/>
          <w:tab w:pos="5814" w:val="left" w:leader="none"/>
          <w:tab w:pos="7059" w:val="left" w:leader="none"/>
        </w:tabs>
        <w:spacing w:line="360" w:lineRule="auto"/>
        <w:ind w:left="172" w:right="548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 a [</w:t>
      </w:r>
      <w:r>
        <w:rPr>
          <w:spacing w:val="80"/>
          <w:u w:val="single"/>
        </w:rPr>
        <w:t>  </w:t>
      </w:r>
      <w:r>
        <w:rPr>
          <w:u w:val="none"/>
        </w:rPr>
        <w:t>] de [</w:t>
      </w:r>
      <w:r>
        <w:rPr>
          <w:u w:val="single"/>
        </w:rPr>
        <w:tab/>
        <w:tab/>
      </w:r>
      <w:r>
        <w:rPr>
          <w:u w:val="none"/>
        </w:rPr>
        <w:t>] de </w:t>
      </w:r>
      <w:r>
        <w:rPr>
          <w:u w:val="none"/>
        </w:rPr>
        <w:t>202[_]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u w:val="none"/>
        </w:rPr>
        <w:t>nombre del oferente y/o del representante legal en caso de personas</w:t>
      </w:r>
      <w:r>
        <w:rPr>
          <w:spacing w:val="80"/>
          <w:u w:val="none"/>
        </w:rPr>
        <w:t>  </w:t>
      </w:r>
      <w:r>
        <w:rPr>
          <w:u w:val="none"/>
        </w:rPr>
        <w:t>jurídicas</w:t>
      </w:r>
      <w:r>
        <w:rPr>
          <w:spacing w:val="80"/>
          <w:u w:val="none"/>
        </w:rPr>
        <w:t>  </w:t>
      </w:r>
      <w:r>
        <w:rPr>
          <w:u w:val="none"/>
        </w:rPr>
        <w:t>o</w:t>
      </w:r>
      <w:r>
        <w:rPr>
          <w:spacing w:val="80"/>
          <w:u w:val="none"/>
        </w:rPr>
        <w:t>  </w:t>
      </w:r>
      <w:r>
        <w:rPr>
          <w:u w:val="none"/>
        </w:rPr>
        <w:t>consorcio</w:t>
      </w:r>
      <w:r>
        <w:rPr>
          <w:u w:val="single"/>
        </w:rPr>
        <w:tab/>
        <w:tab/>
      </w:r>
      <w:r>
        <w:rPr>
          <w:u w:val="none"/>
        </w:rPr>
        <w:t>], [</w:t>
      </w:r>
      <w:r>
        <w:rPr>
          <w:u w:val="single"/>
        </w:rPr>
        <w:t> </w:t>
      </w:r>
      <w:r>
        <w:rPr>
          <w:u w:val="none"/>
        </w:rPr>
        <w:t>cédula_de identidad/pasaporte</w:t>
      </w:r>
      <w:r>
        <w:rPr>
          <w:spacing w:val="-15"/>
          <w:u w:val="none"/>
        </w:rPr>
        <w:t> </w:t>
      </w:r>
      <w:r>
        <w:rPr>
          <w:u w:val="none"/>
        </w:rPr>
        <w:t>del</w:t>
      </w:r>
      <w:r>
        <w:rPr>
          <w:spacing w:val="-12"/>
          <w:u w:val="none"/>
        </w:rPr>
        <w:t> </w:t>
      </w:r>
      <w:r>
        <w:rPr>
          <w:u w:val="none"/>
        </w:rPr>
        <w:t>oferente</w:t>
      </w:r>
      <w:r>
        <w:rPr>
          <w:spacing w:val="-13"/>
          <w:u w:val="none"/>
        </w:rPr>
        <w:t> </w:t>
      </w:r>
      <w:r>
        <w:rPr>
          <w:u w:val="none"/>
        </w:rPr>
        <w:t>y/o</w:t>
      </w:r>
      <w:r>
        <w:rPr>
          <w:spacing w:val="-12"/>
          <w:u w:val="none"/>
        </w:rPr>
        <w:t> </w:t>
      </w:r>
      <w:r>
        <w:rPr>
          <w:u w:val="none"/>
        </w:rPr>
        <w:t>del</w:t>
      </w:r>
      <w:r>
        <w:rPr>
          <w:spacing w:val="-12"/>
          <w:u w:val="none"/>
        </w:rPr>
        <w:t> </w:t>
      </w:r>
      <w:r>
        <w:rPr>
          <w:u w:val="none"/>
        </w:rPr>
        <w:t>representante</w:t>
      </w:r>
      <w:r>
        <w:rPr>
          <w:spacing w:val="-15"/>
          <w:u w:val="none"/>
        </w:rPr>
        <w:t> </w:t>
      </w:r>
      <w:r>
        <w:rPr>
          <w:u w:val="none"/>
        </w:rPr>
        <w:t>legal</w:t>
      </w:r>
      <w:r>
        <w:rPr>
          <w:spacing w:val="-12"/>
          <w:u w:val="none"/>
        </w:rPr>
        <w:t> </w:t>
      </w:r>
      <w:r>
        <w:rPr>
          <w:u w:val="none"/>
        </w:rPr>
        <w:t>en</w:t>
      </w:r>
      <w:r>
        <w:rPr>
          <w:spacing w:val="-13"/>
          <w:u w:val="none"/>
        </w:rPr>
        <w:t> </w:t>
      </w:r>
      <w:r>
        <w:rPr>
          <w:u w:val="none"/>
        </w:rPr>
        <w:t>caso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personas jurídicas o consorcio </w:t>
      </w:r>
      <w:r>
        <w:rPr>
          <w:spacing w:val="80"/>
          <w:u w:val="single"/>
        </w:rPr>
        <w:t>  </w:t>
      </w:r>
      <w:r>
        <w:rPr>
          <w:u w:val="none"/>
        </w:rPr>
        <w:t>], actuando en nombre y representación del Oferente individualizado precedentemente (“Oferente”), declaro bajo juramento que este último</w:t>
      </w:r>
      <w:r>
        <w:rPr>
          <w:spacing w:val="-17"/>
          <w:u w:val="none"/>
        </w:rPr>
        <w:t> </w:t>
      </w:r>
      <w:r>
        <w:rPr>
          <w:u w:val="none"/>
        </w:rPr>
        <w:t>no</w:t>
      </w:r>
      <w:r>
        <w:rPr>
          <w:spacing w:val="-17"/>
          <w:u w:val="none"/>
        </w:rPr>
        <w:t> </w:t>
      </w:r>
      <w:r>
        <w:rPr>
          <w:u w:val="none"/>
        </w:rPr>
        <w:t>se</w:t>
      </w:r>
      <w:r>
        <w:rPr>
          <w:spacing w:val="-15"/>
          <w:u w:val="none"/>
        </w:rPr>
        <w:t> </w:t>
      </w:r>
      <w:r>
        <w:rPr>
          <w:u w:val="none"/>
        </w:rPr>
        <w:t>encuentra</w:t>
      </w:r>
      <w:r>
        <w:rPr>
          <w:spacing w:val="-12"/>
          <w:u w:val="none"/>
        </w:rPr>
        <w:t> </w:t>
      </w:r>
      <w:r>
        <w:rPr>
          <w:u w:val="none"/>
        </w:rPr>
        <w:t>afecto</w:t>
      </w:r>
      <w:r>
        <w:rPr>
          <w:spacing w:val="-17"/>
          <w:u w:val="none"/>
        </w:rPr>
        <w:t> </w:t>
      </w:r>
      <w:r>
        <w:rPr>
          <w:u w:val="none"/>
        </w:rPr>
        <w:t>a</w:t>
      </w:r>
      <w:r>
        <w:rPr>
          <w:spacing w:val="-16"/>
          <w:u w:val="none"/>
        </w:rPr>
        <w:t> </w:t>
      </w:r>
      <w:r>
        <w:rPr>
          <w:u w:val="none"/>
        </w:rPr>
        <w:t>las</w:t>
      </w:r>
      <w:r>
        <w:rPr>
          <w:spacing w:val="-16"/>
          <w:u w:val="none"/>
        </w:rPr>
        <w:t> </w:t>
      </w:r>
      <w:r>
        <w:rPr>
          <w:u w:val="none"/>
        </w:rPr>
        <w:t>inhabilidades</w:t>
      </w:r>
      <w:r>
        <w:rPr>
          <w:spacing w:val="-17"/>
          <w:u w:val="none"/>
        </w:rPr>
        <w:t> </w:t>
      </w:r>
      <w:r>
        <w:rPr>
          <w:u w:val="none"/>
        </w:rPr>
        <w:t>contempladas</w:t>
      </w:r>
      <w:r>
        <w:rPr>
          <w:spacing w:val="-16"/>
          <w:u w:val="none"/>
        </w:rPr>
        <w:t> </w:t>
      </w:r>
      <w:r>
        <w:rPr>
          <w:u w:val="none"/>
        </w:rPr>
        <w:t>en</w:t>
      </w:r>
      <w:r>
        <w:rPr>
          <w:spacing w:val="-13"/>
          <w:u w:val="none"/>
        </w:rPr>
        <w:t> </w:t>
      </w:r>
      <w:r>
        <w:rPr>
          <w:u w:val="none"/>
        </w:rPr>
        <w:t>el</w:t>
      </w:r>
      <w:r>
        <w:rPr>
          <w:spacing w:val="-7"/>
          <w:u w:val="none"/>
        </w:rPr>
        <w:t> </w:t>
      </w:r>
      <w:r>
        <w:rPr>
          <w:u w:val="none"/>
        </w:rPr>
        <w:t>punto</w:t>
      </w:r>
      <w:r>
        <w:rPr>
          <w:spacing w:val="-17"/>
          <w:u w:val="none"/>
        </w:rPr>
        <w:t> </w:t>
      </w:r>
      <w:r>
        <w:rPr>
          <w:u w:val="none"/>
        </w:rPr>
        <w:t>1.1.1. de</w:t>
      </w:r>
      <w:r>
        <w:rPr>
          <w:spacing w:val="-14"/>
          <w:u w:val="none"/>
        </w:rPr>
        <w:t> </w:t>
      </w:r>
      <w:r>
        <w:rPr>
          <w:u w:val="none"/>
        </w:rPr>
        <w:t>las</w:t>
      </w:r>
      <w:r>
        <w:rPr>
          <w:spacing w:val="-13"/>
          <w:u w:val="none"/>
        </w:rPr>
        <w:t> </w:t>
      </w:r>
      <w:r>
        <w:rPr>
          <w:u w:val="none"/>
        </w:rPr>
        <w:t>Bases</w:t>
      </w:r>
      <w:r>
        <w:rPr>
          <w:spacing w:val="-13"/>
          <w:u w:val="none"/>
        </w:rPr>
        <w:t> </w:t>
      </w:r>
      <w:r>
        <w:rPr>
          <w:u w:val="none"/>
        </w:rPr>
        <w:t>Administrativas,</w:t>
      </w:r>
      <w:r>
        <w:rPr>
          <w:spacing w:val="-13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2"/>
          <w:u w:val="none"/>
        </w:rPr>
        <w:t> </w:t>
      </w:r>
      <w:r>
        <w:rPr>
          <w:u w:val="none"/>
        </w:rPr>
        <w:t>contratación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los</w:t>
      </w:r>
      <w:r>
        <w:rPr>
          <w:spacing w:val="-11"/>
          <w:u w:val="none"/>
        </w:rPr>
        <w:t> </w:t>
      </w:r>
      <w:r>
        <w:rPr>
          <w:u w:val="none"/>
        </w:rPr>
        <w:t>servicios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recaudación electrónica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el</w:t>
      </w:r>
      <w:r>
        <w:rPr>
          <w:spacing w:val="-8"/>
          <w:u w:val="none"/>
        </w:rPr>
        <w:t> </w:t>
      </w:r>
      <w:r>
        <w:rPr>
          <w:u w:val="none"/>
        </w:rPr>
        <w:t>transporte</w:t>
      </w:r>
      <w:r>
        <w:rPr>
          <w:spacing w:val="-12"/>
          <w:u w:val="none"/>
        </w:rPr>
        <w:t> </w:t>
      </w:r>
      <w:r>
        <w:rPr>
          <w:u w:val="none"/>
        </w:rPr>
        <w:t>público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pasajeros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0"/>
          <w:u w:val="none"/>
        </w:rPr>
        <w:t> </w:t>
      </w:r>
      <w:r>
        <w:rPr>
          <w:u w:val="none"/>
        </w:rPr>
        <w:t>zona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operación</w:t>
      </w:r>
      <w:r>
        <w:rPr>
          <w:spacing w:val="-9"/>
          <w:u w:val="none"/>
        </w:rPr>
        <w:t> </w:t>
      </w:r>
      <w:r>
        <w:rPr>
          <w:u w:val="none"/>
        </w:rPr>
        <w:t>que comprende los perímetros de exclusión establecidos en las comunas del Gran Concepción:</w:t>
      </w:r>
      <w:r>
        <w:rPr>
          <w:spacing w:val="-9"/>
          <w:u w:val="none"/>
        </w:rPr>
        <w:t> </w:t>
      </w:r>
      <w:r>
        <w:rPr>
          <w:u w:val="none"/>
        </w:rPr>
        <w:t>Penco,</w:t>
      </w:r>
      <w:r>
        <w:rPr>
          <w:spacing w:val="-10"/>
          <w:u w:val="none"/>
        </w:rPr>
        <w:t> </w:t>
      </w:r>
      <w:r>
        <w:rPr>
          <w:u w:val="none"/>
        </w:rPr>
        <w:t>Concepción,</w:t>
      </w:r>
      <w:r>
        <w:rPr>
          <w:spacing w:val="-10"/>
          <w:u w:val="none"/>
        </w:rPr>
        <w:t> </w:t>
      </w:r>
      <w:r>
        <w:rPr>
          <w:u w:val="none"/>
        </w:rPr>
        <w:t>Chiguayante,</w:t>
      </w:r>
      <w:r>
        <w:rPr>
          <w:spacing w:val="-10"/>
          <w:u w:val="none"/>
        </w:rPr>
        <w:t> </w:t>
      </w:r>
      <w:r>
        <w:rPr>
          <w:u w:val="none"/>
        </w:rPr>
        <w:t>Hualqui,</w:t>
      </w:r>
      <w:r>
        <w:rPr>
          <w:spacing w:val="-10"/>
          <w:u w:val="none"/>
        </w:rPr>
        <w:t> </w:t>
      </w:r>
      <w:r>
        <w:rPr>
          <w:u w:val="none"/>
        </w:rPr>
        <w:t>Hualpén,</w:t>
      </w:r>
      <w:r>
        <w:rPr>
          <w:spacing w:val="-10"/>
          <w:u w:val="none"/>
        </w:rPr>
        <w:t> </w:t>
      </w:r>
      <w:r>
        <w:rPr>
          <w:u w:val="none"/>
        </w:rPr>
        <w:t>San</w:t>
      </w:r>
      <w:r>
        <w:rPr>
          <w:spacing w:val="-9"/>
          <w:u w:val="none"/>
        </w:rPr>
        <w:t> </w:t>
      </w:r>
      <w:r>
        <w:rPr>
          <w:u w:val="none"/>
        </w:rPr>
        <w:t>Pedro</w:t>
      </w:r>
      <w:r>
        <w:rPr>
          <w:spacing w:val="-11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la Paz</w:t>
      </w:r>
      <w:r>
        <w:rPr>
          <w:spacing w:val="-8"/>
          <w:u w:val="none"/>
        </w:rPr>
        <w:t> </w:t>
      </w:r>
      <w:r>
        <w:rPr>
          <w:u w:val="none"/>
        </w:rPr>
        <w:t>y</w:t>
      </w:r>
      <w:r>
        <w:rPr>
          <w:spacing w:val="-7"/>
          <w:u w:val="none"/>
        </w:rPr>
        <w:t> </w:t>
      </w:r>
      <w:r>
        <w:rPr>
          <w:u w:val="none"/>
        </w:rPr>
        <w:t>Talcahuano;</w:t>
      </w:r>
      <w:r>
        <w:rPr>
          <w:spacing w:val="-6"/>
          <w:u w:val="none"/>
        </w:rPr>
        <w:t> </w:t>
      </w:r>
      <w:r>
        <w:rPr>
          <w:u w:val="none"/>
        </w:rPr>
        <w:t>en</w:t>
      </w:r>
      <w:r>
        <w:rPr>
          <w:spacing w:val="-7"/>
          <w:u w:val="none"/>
        </w:rPr>
        <w:t> </w:t>
      </w:r>
      <w:r>
        <w:rPr>
          <w:u w:val="none"/>
        </w:rPr>
        <w:t>la</w:t>
      </w:r>
      <w:r>
        <w:rPr>
          <w:spacing w:val="-6"/>
          <w:u w:val="none"/>
        </w:rPr>
        <w:t> </w:t>
      </w:r>
      <w:r>
        <w:rPr>
          <w:u w:val="none"/>
        </w:rPr>
        <w:t>comuna</w:t>
      </w:r>
      <w:r>
        <w:rPr>
          <w:spacing w:val="-8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Tomé;</w:t>
      </w:r>
      <w:r>
        <w:rPr>
          <w:spacing w:val="-4"/>
          <w:u w:val="none"/>
        </w:rPr>
        <w:t> </w:t>
      </w:r>
      <w:r>
        <w:rPr>
          <w:u w:val="none"/>
        </w:rPr>
        <w:t>en</w:t>
      </w:r>
      <w:r>
        <w:rPr>
          <w:spacing w:val="-7"/>
          <w:u w:val="none"/>
        </w:rPr>
        <w:t> </w:t>
      </w:r>
      <w:r>
        <w:rPr>
          <w:u w:val="none"/>
        </w:rPr>
        <w:t>las</w:t>
      </w:r>
      <w:r>
        <w:rPr>
          <w:spacing w:val="-7"/>
          <w:u w:val="none"/>
        </w:rPr>
        <w:t> </w:t>
      </w:r>
      <w:r>
        <w:rPr>
          <w:u w:val="none"/>
        </w:rPr>
        <w:t>comunas</w:t>
      </w:r>
      <w:r>
        <w:rPr>
          <w:spacing w:val="-7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u w:val="none"/>
        </w:rPr>
        <w:t>Lota</w:t>
      </w:r>
      <w:r>
        <w:rPr>
          <w:spacing w:val="-5"/>
          <w:u w:val="none"/>
        </w:rPr>
        <w:t> </w:t>
      </w:r>
      <w:r>
        <w:rPr>
          <w:u w:val="none"/>
        </w:rPr>
        <w:t>-</w:t>
      </w:r>
      <w:r>
        <w:rPr>
          <w:spacing w:val="-5"/>
          <w:u w:val="none"/>
        </w:rPr>
        <w:t> </w:t>
      </w:r>
      <w:r>
        <w:rPr>
          <w:u w:val="none"/>
        </w:rPr>
        <w:t>Coronel</w:t>
      </w:r>
      <w:r>
        <w:rPr>
          <w:spacing w:val="-6"/>
          <w:u w:val="none"/>
        </w:rPr>
        <w:t> </w:t>
      </w:r>
      <w:r>
        <w:rPr>
          <w:u w:val="none"/>
        </w:rPr>
        <w:t>y</w:t>
      </w:r>
      <w:r>
        <w:rPr>
          <w:spacing w:val="-7"/>
          <w:u w:val="none"/>
        </w:rPr>
        <w:t> </w:t>
      </w:r>
      <w:r>
        <w:rPr>
          <w:u w:val="none"/>
        </w:rPr>
        <w:t>el servicio</w:t>
      </w:r>
      <w:r>
        <w:rPr>
          <w:spacing w:val="-11"/>
          <w:u w:val="none"/>
        </w:rPr>
        <w:t> </w:t>
      </w:r>
      <w:r>
        <w:rPr>
          <w:u w:val="none"/>
        </w:rPr>
        <w:t>de</w:t>
      </w:r>
      <w:r>
        <w:rPr>
          <w:spacing w:val="-9"/>
          <w:u w:val="none"/>
        </w:rPr>
        <w:t> </w:t>
      </w:r>
      <w:r>
        <w:rPr>
          <w:u w:val="none"/>
        </w:rPr>
        <w:t>conectividad</w:t>
      </w:r>
      <w:r>
        <w:rPr>
          <w:spacing w:val="-12"/>
          <w:u w:val="none"/>
        </w:rPr>
        <w:t> </w:t>
      </w:r>
      <w:r>
        <w:rPr>
          <w:u w:val="none"/>
        </w:rPr>
        <w:t>al</w:t>
      </w:r>
      <w:r>
        <w:rPr>
          <w:spacing w:val="-7"/>
          <w:u w:val="none"/>
        </w:rPr>
        <w:t> </w:t>
      </w:r>
      <w:r>
        <w:rPr>
          <w:u w:val="none"/>
        </w:rPr>
        <w:t>transporte</w:t>
      </w:r>
      <w:r>
        <w:rPr>
          <w:spacing w:val="-12"/>
          <w:u w:val="none"/>
        </w:rPr>
        <w:t> </w:t>
      </w:r>
      <w:r>
        <w:rPr>
          <w:u w:val="none"/>
        </w:rPr>
        <w:t>público</w:t>
      </w:r>
      <w:r>
        <w:rPr>
          <w:spacing w:val="-12"/>
          <w:u w:val="none"/>
        </w:rPr>
        <w:t> </w:t>
      </w:r>
      <w:r>
        <w:rPr>
          <w:u w:val="none"/>
        </w:rPr>
        <w:t>rural</w:t>
      </w:r>
      <w:r>
        <w:rPr>
          <w:spacing w:val="-7"/>
          <w:u w:val="none"/>
        </w:rPr>
        <w:t> </w:t>
      </w:r>
      <w:r>
        <w:rPr>
          <w:u w:val="none"/>
        </w:rPr>
        <w:t>en</w:t>
      </w:r>
      <w:r>
        <w:rPr>
          <w:spacing w:val="-9"/>
          <w:u w:val="none"/>
        </w:rPr>
        <w:t> </w:t>
      </w:r>
      <w:r>
        <w:rPr>
          <w:u w:val="none"/>
        </w:rPr>
        <w:t>la</w:t>
      </w:r>
      <w:r>
        <w:rPr>
          <w:spacing w:val="-10"/>
          <w:u w:val="none"/>
        </w:rPr>
        <w:t> </w:t>
      </w:r>
      <w:r>
        <w:rPr>
          <w:u w:val="none"/>
        </w:rPr>
        <w:t>comuna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9"/>
          <w:u w:val="none"/>
        </w:rPr>
        <w:t> </w:t>
      </w:r>
      <w:r>
        <w:rPr>
          <w:u w:val="none"/>
        </w:rPr>
        <w:t>Santa</w:t>
      </w:r>
      <w:r>
        <w:rPr>
          <w:spacing w:val="-10"/>
          <w:u w:val="none"/>
        </w:rPr>
        <w:t> </w:t>
      </w:r>
      <w:r>
        <w:rPr>
          <w:u w:val="none"/>
        </w:rPr>
        <w:t>Juana, todos de la Región del Biobío.</w:t>
      </w:r>
    </w:p>
    <w:p>
      <w:pPr>
        <w:pStyle w:val="BodyText"/>
        <w:spacing w:before="121"/>
      </w:pPr>
    </w:p>
    <w:p>
      <w:pPr>
        <w:pStyle w:val="BodyText"/>
        <w:spacing w:line="362" w:lineRule="auto"/>
        <w:ind w:left="172" w:right="547"/>
        <w:jc w:val="both"/>
      </w:pPr>
      <w:r>
        <w:rPr/>
        <w:t>En particular, declaro bajo juramento que la persona que presenta la oferta; o, todos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6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2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consorcio</w:t>
      </w:r>
      <w:r>
        <w:rPr>
          <w:spacing w:val="-8"/>
        </w:rPr>
        <w:t> </w:t>
      </w:r>
      <w:r>
        <w:rPr/>
        <w:t>que presentan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oferta,</w:t>
      </w:r>
      <w:r>
        <w:rPr>
          <w:spacing w:val="-7"/>
        </w:rPr>
        <w:t> </w:t>
      </w:r>
      <w:r>
        <w:rPr/>
        <w:t>según </w:t>
      </w:r>
      <w:r>
        <w:rPr>
          <w:spacing w:val="-2"/>
        </w:rPr>
        <w:t>corresponda: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360" w:lineRule="auto" w:before="154" w:after="0"/>
        <w:ind w:left="172" w:right="547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 cualquier título con órganos o empresas del Estado o con empresas o asociaciones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éste</w:t>
      </w:r>
      <w:r>
        <w:rPr>
          <w:spacing w:val="-11"/>
          <w:sz w:val="20"/>
        </w:rPr>
        <w:t> </w:t>
      </w:r>
      <w:r>
        <w:rPr>
          <w:sz w:val="20"/>
        </w:rPr>
        <w:t>tenga</w:t>
      </w:r>
      <w:r>
        <w:rPr>
          <w:spacing w:val="-11"/>
          <w:sz w:val="20"/>
        </w:rPr>
        <w:t> </w:t>
      </w:r>
      <w:r>
        <w:rPr>
          <w:sz w:val="20"/>
        </w:rPr>
        <w:t>participación</w:t>
      </w:r>
      <w:r>
        <w:rPr>
          <w:spacing w:val="-10"/>
          <w:sz w:val="20"/>
        </w:rPr>
        <w:t> </w:t>
      </w:r>
      <w:r>
        <w:rPr>
          <w:sz w:val="20"/>
        </w:rPr>
        <w:t>mayoritaria;</w:t>
      </w:r>
      <w:r>
        <w:rPr>
          <w:spacing w:val="-11"/>
          <w:sz w:val="20"/>
        </w:rPr>
        <w:t> </w:t>
      </w:r>
      <w:r>
        <w:rPr>
          <w:sz w:val="20"/>
        </w:rPr>
        <w:t>así</w:t>
      </w:r>
      <w:r>
        <w:rPr>
          <w:spacing w:val="-9"/>
          <w:sz w:val="20"/>
        </w:rPr>
        <w:t> </w:t>
      </w:r>
      <w:r>
        <w:rPr>
          <w:sz w:val="20"/>
        </w:rPr>
        <w:t>como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prohibición de adjudicarse cualquier concesión otorgada por el Estado, conforme al artículo 10 de la</w:t>
      </w:r>
      <w:r>
        <w:rPr>
          <w:spacing w:val="-1"/>
          <w:sz w:val="20"/>
        </w:rPr>
        <w:t> </w:t>
      </w:r>
      <w:r>
        <w:rPr>
          <w:sz w:val="20"/>
        </w:rPr>
        <w:t>Ley N°20.393, que</w:t>
      </w:r>
      <w:r>
        <w:rPr>
          <w:spacing w:val="-2"/>
          <w:sz w:val="20"/>
        </w:rPr>
        <w:t> </w:t>
      </w:r>
      <w:r>
        <w:rPr>
          <w:sz w:val="20"/>
        </w:rPr>
        <w:t>“Establece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Responsabilidad penal de</w:t>
      </w:r>
      <w:r>
        <w:rPr>
          <w:spacing w:val="-2"/>
          <w:sz w:val="20"/>
        </w:rPr>
        <w:t> </w:t>
      </w:r>
      <w:r>
        <w:rPr>
          <w:sz w:val="20"/>
        </w:rPr>
        <w:t>las personas jurídicas en los delitos que indica”, mediante sentencia judicial ejecutoriada;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360" w:lineRule="auto" w:before="160" w:after="0"/>
        <w:ind w:left="172" w:right="545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</w:t>
      </w:r>
      <w:r>
        <w:rPr>
          <w:spacing w:val="-11"/>
          <w:sz w:val="20"/>
        </w:rPr>
        <w:t> </w:t>
      </w:r>
      <w:r>
        <w:rPr>
          <w:sz w:val="20"/>
        </w:rPr>
        <w:t>cualquier</w:t>
      </w:r>
      <w:r>
        <w:rPr>
          <w:spacing w:val="-12"/>
          <w:sz w:val="20"/>
        </w:rPr>
        <w:t> </w:t>
      </w:r>
      <w:r>
        <w:rPr>
          <w:sz w:val="20"/>
        </w:rPr>
        <w:t>título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órganos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administración</w:t>
      </w:r>
      <w:r>
        <w:rPr>
          <w:spacing w:val="-10"/>
          <w:sz w:val="20"/>
        </w:rPr>
        <w:t> </w:t>
      </w:r>
      <w:r>
        <w:rPr>
          <w:sz w:val="20"/>
        </w:rPr>
        <w:t>centralizada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descentralizada del Estado, con organismos autónomos o con instituciones, organismos, empresas o servicios en los que el Estado efectúe aportes, con el Congreso Nacional y el Poder Judicial, así como la prohibición de adjudicarse cualquier concesión otorgada por el Estado por conductas previstas en la letra a) del artículo 3º del Decreto con Fuerza de Ley N°1 de 2004, del Ministerio de Economía, Fomento y Reconstrucción, que fija el texto refundido, coordinado y sistematizado</w:t>
      </w:r>
      <w:r>
        <w:rPr>
          <w:spacing w:val="-2"/>
          <w:sz w:val="20"/>
        </w:rPr>
        <w:t> </w:t>
      </w:r>
      <w:r>
        <w:rPr>
          <w:sz w:val="20"/>
        </w:rPr>
        <w:t>del Decreto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Nº211 de</w:t>
      </w:r>
      <w:r>
        <w:rPr>
          <w:spacing w:val="-2"/>
          <w:sz w:val="20"/>
        </w:rPr>
        <w:t> </w:t>
      </w:r>
      <w:r>
        <w:rPr>
          <w:sz w:val="20"/>
        </w:rPr>
        <w:t>1973, que</w:t>
      </w:r>
      <w:r>
        <w:rPr>
          <w:spacing w:val="-2"/>
          <w:sz w:val="20"/>
        </w:rPr>
        <w:t> </w:t>
      </w:r>
      <w:r>
        <w:rPr>
          <w:sz w:val="20"/>
        </w:rPr>
        <w:t>“Fija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</w:p>
    <w:p>
      <w:pPr>
        <w:pStyle w:val="ListParagraph"/>
        <w:spacing w:after="0" w:line="360" w:lineRule="auto"/>
        <w:jc w:val="both"/>
        <w:rPr>
          <w:sz w:val="20"/>
        </w:rPr>
        <w:sectPr>
          <w:headerReference w:type="default" r:id="rId5"/>
          <w:type w:val="continuous"/>
          <w:pgSz w:w="12250" w:h="18730"/>
          <w:pgMar w:header="662" w:footer="0" w:top="1920" w:bottom="280" w:left="1700" w:right="1700"/>
          <w:pgNumType w:start="1"/>
        </w:sectPr>
      </w:pPr>
    </w:p>
    <w:p>
      <w:pPr>
        <w:pStyle w:val="BodyText"/>
        <w:spacing w:before="89"/>
        <w:ind w:left="172"/>
      </w:pP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libre</w:t>
      </w:r>
      <w:r>
        <w:rPr>
          <w:spacing w:val="-17"/>
        </w:rPr>
        <w:t> </w:t>
      </w:r>
      <w:r>
        <w:rPr/>
        <w:t>competencia”,</w:t>
      </w:r>
      <w:r>
        <w:rPr>
          <w:spacing w:val="-18"/>
        </w:rPr>
        <w:t> </w:t>
      </w:r>
      <w:r>
        <w:rPr/>
        <w:t>acorde</w:t>
      </w:r>
      <w:r>
        <w:rPr>
          <w:spacing w:val="-17"/>
        </w:rPr>
        <w:t> </w:t>
      </w:r>
      <w:r>
        <w:rPr/>
        <w:t>con</w:t>
      </w:r>
      <w:r>
        <w:rPr>
          <w:spacing w:val="-18"/>
        </w:rPr>
        <w:t> </w:t>
      </w:r>
      <w:r>
        <w:rPr/>
        <w:t>lo</w:t>
      </w:r>
      <w:r>
        <w:rPr>
          <w:spacing w:val="-18"/>
        </w:rPr>
        <w:t> </w:t>
      </w:r>
      <w:r>
        <w:rPr/>
        <w:t>establecido</w:t>
      </w:r>
      <w:r>
        <w:rPr>
          <w:spacing w:val="-17"/>
        </w:rPr>
        <w:t> </w:t>
      </w:r>
      <w:r>
        <w:rPr/>
        <w:t>en</w:t>
      </w:r>
      <w:r>
        <w:rPr>
          <w:spacing w:val="-18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8"/>
        </w:rPr>
        <w:t> </w:t>
      </w:r>
      <w:r>
        <w:rPr/>
        <w:t>26</w:t>
      </w:r>
      <w:r>
        <w:rPr>
          <w:spacing w:val="-17"/>
        </w:rPr>
        <w:t> </w:t>
      </w:r>
      <w:r>
        <w:rPr/>
        <w:t>inciso</w:t>
      </w:r>
      <w:r>
        <w:rPr>
          <w:spacing w:val="-17"/>
        </w:rPr>
        <w:t> </w:t>
      </w:r>
      <w:r>
        <w:rPr/>
        <w:t>2°</w:t>
      </w:r>
      <w:r>
        <w:rPr>
          <w:spacing w:val="-15"/>
        </w:rPr>
        <w:t> </w:t>
      </w:r>
      <w:r>
        <w:rPr>
          <w:spacing w:val="-2"/>
        </w:rPr>
        <w:t>letra</w:t>
      </w:r>
    </w:p>
    <w:p>
      <w:pPr>
        <w:pStyle w:val="BodyText"/>
        <w:spacing w:before="124"/>
        <w:ind w:left="172"/>
        <w:jc w:val="both"/>
      </w:pPr>
      <w:r>
        <w:rPr/>
        <w:t>d)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7"/>
        </w:rPr>
        <w:t> </w:t>
      </w:r>
      <w:r>
        <w:rPr/>
        <w:t>cuerpo</w:t>
      </w:r>
      <w:r>
        <w:rPr>
          <w:spacing w:val="-7"/>
        </w:rPr>
        <w:t> </w:t>
      </w:r>
      <w:r>
        <w:rPr>
          <w:spacing w:val="-2"/>
        </w:rPr>
        <w:t>legal;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360" w:lineRule="auto" w:before="0" w:after="0"/>
        <w:ind w:left="172" w:right="552" w:firstLine="0"/>
        <w:jc w:val="both"/>
        <w:rPr>
          <w:sz w:val="20"/>
        </w:rPr>
      </w:pPr>
      <w:r>
        <w:rPr>
          <w:sz w:val="20"/>
        </w:rPr>
        <w:t>No está(n) sometidos a una condena vigente que lo(s) inhabilite para contratar con el Estado, esto es, con cualquiera de sus órganos o empresas públicas que conforme a la ley constituyen al Estado y con las empresas o sociedades en las que el Estado participe con al menos la mitad de las acciones que comprenden su capital, de los derechos sociales o de los derechos de administración, conforme a la inhabilitación regulada en el artículo 33 de la ley N° 21.595 de 2023, sobre delitos económicos.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1189024</wp:posOffset>
                </wp:positionH>
                <wp:positionV relativeFrom="paragraph">
                  <wp:posOffset>321953</wp:posOffset>
                </wp:positionV>
                <wp:extent cx="30695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 h="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25.350706pt;width:241.7pt;height:.1pt;mso-position-horizontal-relative:page;mso-position-vertical-relative:paragraph;z-index:-15728640;mso-wrap-distance-left:0;mso-wrap-distance-right:0" id="docshape2" coordorigin="1872,507" coordsize="4834,0" path="m1872,507l6706,50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72"/>
      </w:pPr>
      <w:r>
        <w:rPr/>
        <w:t>NOMBRE</w:t>
      </w:r>
      <w:r>
        <w:rPr>
          <w:spacing w:val="-11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1189024</wp:posOffset>
                </wp:positionH>
                <wp:positionV relativeFrom="paragraph">
                  <wp:posOffset>220890</wp:posOffset>
                </wp:positionV>
                <wp:extent cx="30695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 h="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92929pt;width:241.7pt;height:.1pt;mso-position-horizontal-relative:page;mso-position-vertical-relative:paragraph;z-index:-15728128;mso-wrap-distance-left:0;mso-wrap-distance-right:0" id="docshape3" coordorigin="1872,348" coordsize="4834,0" path="m1872,348l6706,348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ind w:left="172"/>
      </w:pPr>
      <w:r>
        <w:rPr/>
        <w:t>NOMBRE</w:t>
      </w:r>
      <w:r>
        <w:rPr>
          <w:spacing w:val="-13"/>
        </w:rPr>
        <w:t> </w:t>
      </w:r>
      <w:r>
        <w:rPr>
          <w:spacing w:val="-2"/>
        </w:rPr>
        <w:t>MANDATARIO</w:t>
      </w:r>
    </w:p>
    <w:sectPr>
      <w:pgSz w:w="12250" w:h="18730"/>
      <w:pgMar w:header="662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1089025</wp:posOffset>
          </wp:positionH>
          <wp:positionV relativeFrom="page">
            <wp:posOffset>420369</wp:posOffset>
          </wp:positionV>
          <wp:extent cx="790575" cy="7137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3206623</wp:posOffset>
              </wp:positionH>
              <wp:positionV relativeFrom="page">
                <wp:posOffset>754322</wp:posOffset>
              </wp:positionV>
              <wp:extent cx="3216910" cy="3740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1691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609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2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BIOBÍO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490005pt;margin-top:59.395443pt;width:253.3pt;height:29.4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1609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2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BIOBÍO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2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7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9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2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2" w:right="545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2025-06-09T15:37:56Z</dcterms:created>
  <dcterms:modified xsi:type="dcterms:W3CDTF">2025-06-09T15:37:56Z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